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97" w:rsidRDefault="00C273FF" w:rsidP="00C72C97">
      <w:pPr>
        <w:rPr>
          <w:b/>
          <w:caps/>
          <w:noProof/>
          <w:sz w:val="24"/>
          <w:lang w:eastAsia="en-GB"/>
        </w:rPr>
      </w:pPr>
      <w:r w:rsidRPr="007D061F">
        <w:rPr>
          <w:b/>
          <w:noProof/>
          <w:sz w:val="32"/>
          <w:lang w:eastAsia="en-GB"/>
        </w:rPr>
        <mc:AlternateContent>
          <mc:Choice Requires="wps">
            <w:drawing>
              <wp:anchor distT="45720" distB="45720" distL="114300" distR="114300" simplePos="0" relativeHeight="251674624" behindDoc="0" locked="0" layoutInCell="1" allowOverlap="1" wp14:anchorId="224A8B97" wp14:editId="6F72C2FD">
                <wp:simplePos x="0" y="0"/>
                <wp:positionH relativeFrom="margin">
                  <wp:posOffset>2468880</wp:posOffset>
                </wp:positionH>
                <wp:positionV relativeFrom="paragraph">
                  <wp:posOffset>0</wp:posOffset>
                </wp:positionV>
                <wp:extent cx="3429000" cy="952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52500"/>
                        </a:xfrm>
                        <a:prstGeom prst="rect">
                          <a:avLst/>
                        </a:prstGeom>
                        <a:solidFill>
                          <a:srgbClr val="FFFFFF"/>
                        </a:solidFill>
                        <a:ln w="9525">
                          <a:solidFill>
                            <a:srgbClr val="000000"/>
                          </a:solidFill>
                          <a:miter lim="800000"/>
                          <a:headEnd/>
                          <a:tailEnd/>
                        </a:ln>
                      </wps:spPr>
                      <wps:txbx>
                        <w:txbxContent>
                          <w:p w:rsidR="00C273FF" w:rsidRDefault="00CF37E1" w:rsidP="007D061F">
                            <w:pPr>
                              <w:jc w:val="center"/>
                              <w:rPr>
                                <w:b/>
                                <w:color w:val="2E74B5" w:themeColor="accent1" w:themeShade="BF"/>
                                <w:sz w:val="32"/>
                              </w:rPr>
                            </w:pPr>
                            <w:r>
                              <w:rPr>
                                <w:b/>
                                <w:color w:val="2E74B5" w:themeColor="accent1" w:themeShade="BF"/>
                                <w:sz w:val="32"/>
                              </w:rPr>
                              <w:t>Education recovery: increasing school a</w:t>
                            </w:r>
                            <w:r w:rsidR="00C273FF" w:rsidRPr="00EB1929">
                              <w:rPr>
                                <w:b/>
                                <w:color w:val="2E74B5" w:themeColor="accent1" w:themeShade="BF"/>
                                <w:sz w:val="32"/>
                              </w:rPr>
                              <w:t xml:space="preserve">ttendance and </w:t>
                            </w:r>
                            <w:r>
                              <w:rPr>
                                <w:b/>
                                <w:color w:val="2E74B5" w:themeColor="accent1" w:themeShade="BF"/>
                                <w:sz w:val="32"/>
                              </w:rPr>
                              <w:t>reducing e</w:t>
                            </w:r>
                            <w:r w:rsidR="00C273FF" w:rsidRPr="00EB1929">
                              <w:rPr>
                                <w:b/>
                                <w:color w:val="2E74B5" w:themeColor="accent1" w:themeShade="BF"/>
                                <w:sz w:val="32"/>
                              </w:rPr>
                              <w:t>xclusions</w:t>
                            </w:r>
                            <w:r>
                              <w:rPr>
                                <w:b/>
                                <w:color w:val="2E74B5" w:themeColor="accent1" w:themeShade="BF"/>
                                <w:sz w:val="32"/>
                              </w:rPr>
                              <w:t xml:space="preserve"> and part-time timetables</w:t>
                            </w:r>
                          </w:p>
                          <w:p w:rsidR="0048076C" w:rsidRPr="00EB1929" w:rsidRDefault="0048076C" w:rsidP="007D061F">
                            <w:pPr>
                              <w:jc w:val="center"/>
                              <w:rPr>
                                <w:b/>
                                <w:color w:val="2E74B5" w:themeColor="accent1" w:themeShade="BF"/>
                                <w:sz w:val="32"/>
                              </w:rPr>
                            </w:pPr>
                          </w:p>
                          <w:p w:rsidR="00834B27" w:rsidRDefault="00834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A8B97" id="_x0000_t202" coordsize="21600,21600" o:spt="202" path="m,l,21600r21600,l21600,xe">
                <v:stroke joinstyle="miter"/>
                <v:path gradientshapeok="t" o:connecttype="rect"/>
              </v:shapetype>
              <v:shape id="Text Box 2" o:spid="_x0000_s1026" type="#_x0000_t202" style="position:absolute;margin-left:194.4pt;margin-top:0;width:270pt;height: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POIQIAAEQEAAAOAAAAZHJzL2Uyb0RvYy54bWysU9tu2zAMfR+wfxD0vthJk60x4hRdugwD&#10;ugvQ7gNoWY6FSaInKbG7ry8lp2m6YS/D/GCIInV4eEiurgaj2UE6r9CWfDrJOZNWYK3sruTf77dv&#10;LjnzAWwNGq0s+YP0/Gr9+tWq7wo5wxZ1LR0jEOuLvit5G0JXZJkXrTTgJ9hJS84GnYFApttltYOe&#10;0I3OZnn+NuvR1Z1DIb2n25vRydcJv2mkCF+bxsvAdMmJW0h/l/5V/GfrFRQ7B12rxJEG/AMLA8pS&#10;0hPUDQRge6f+gDJKOPTYhIlAk2HTKCFTDVTNNP+tmrsWOplqIXF8d5LJ/z9Y8eXwzTFVl/yCMwuG&#10;WnQvh8De48BmUZ2+8wUF3XUUFga6pi6nSn13i+KHZxY3LdidvHYO+1ZCTeym8WV29nTE8RGk6j9j&#10;TWlgHzABDY0zUToSgxE6denh1JlIRdDlxXy2zHNyCfItF7MFnWMKKJ5ed86HjxINi4eSO+p8QofD&#10;rQ9j6FNITOZRq3qrtE6G21Ub7dgBaEq26TuivwjTlvVj9lGAv0IQ00h2zPoCwqhA466VKfnlKQiK&#10;KNsHW9MDKAIoPZ6pOm2POkbpRhHDUA0UGMWtsH4gRR2OY01rSIcW3S/Oehrpkvufe3CSM/3JUleW&#10;0/k87kAy5ot3MzLcuac694AVBFXywNl43IS0N5GjxWvqXqOSsM9MjlxpVFNrjmsVd+HcTlHPy79+&#10;BAAA//8DAFBLAwQUAAYACAAAACEAyYzqvd0AAAAIAQAADwAAAGRycy9kb3ducmV2LnhtbEyPwU7D&#10;MBBE70j8g7VIXFBr00JJQ5wKIYHoDVoEVzfeJhHxOthuGv6e7QmOoxnNvClWo+vEgCG2njRcTxUI&#10;pMrblmoN79unSQYiJkPWdJ5Qww9GWJXnZ4XJrT/SGw6bVAsuoZgbDU1KfS5lrBp0Jk59j8Te3gdn&#10;EstQSxvMkctdJ2dKLaQzLfFCY3p8bLD62hychuzmZfiM6/nrR7XYd8t0dTc8fwetLy/Gh3sQCcf0&#10;F4YTPqNDyUw7fyAbRadhnmWMnjTwI7aXs5Pcce5WKZBlIf8fKH8BAAD//wMAUEsBAi0AFAAGAAgA&#10;AAAhALaDOJL+AAAA4QEAABMAAAAAAAAAAAAAAAAAAAAAAFtDb250ZW50X1R5cGVzXS54bWxQSwEC&#10;LQAUAAYACAAAACEAOP0h/9YAAACUAQAACwAAAAAAAAAAAAAAAAAvAQAAX3JlbHMvLnJlbHNQSwEC&#10;LQAUAAYACAAAACEA/BezziECAABEBAAADgAAAAAAAAAAAAAAAAAuAgAAZHJzL2Uyb0RvYy54bWxQ&#10;SwECLQAUAAYACAAAACEAyYzqvd0AAAAIAQAADwAAAAAAAAAAAAAAAAB7BAAAZHJzL2Rvd25yZXYu&#10;eG1sUEsFBgAAAAAEAAQA8wAAAIUFAAAAAA==&#10;">
                <v:textbox>
                  <w:txbxContent>
                    <w:p w:rsidR="00C273FF" w:rsidRDefault="00CF37E1" w:rsidP="007D061F">
                      <w:pPr>
                        <w:jc w:val="center"/>
                        <w:rPr>
                          <w:b/>
                          <w:color w:val="2E74B5" w:themeColor="accent1" w:themeShade="BF"/>
                          <w:sz w:val="32"/>
                        </w:rPr>
                      </w:pPr>
                      <w:r>
                        <w:rPr>
                          <w:b/>
                          <w:color w:val="2E74B5" w:themeColor="accent1" w:themeShade="BF"/>
                          <w:sz w:val="32"/>
                        </w:rPr>
                        <w:t>Education recovery: increasing school a</w:t>
                      </w:r>
                      <w:r w:rsidR="00C273FF" w:rsidRPr="00EB1929">
                        <w:rPr>
                          <w:b/>
                          <w:color w:val="2E74B5" w:themeColor="accent1" w:themeShade="BF"/>
                          <w:sz w:val="32"/>
                        </w:rPr>
                        <w:t xml:space="preserve">ttendance and </w:t>
                      </w:r>
                      <w:r>
                        <w:rPr>
                          <w:b/>
                          <w:color w:val="2E74B5" w:themeColor="accent1" w:themeShade="BF"/>
                          <w:sz w:val="32"/>
                        </w:rPr>
                        <w:t>reducing e</w:t>
                      </w:r>
                      <w:r w:rsidR="00C273FF" w:rsidRPr="00EB1929">
                        <w:rPr>
                          <w:b/>
                          <w:color w:val="2E74B5" w:themeColor="accent1" w:themeShade="BF"/>
                          <w:sz w:val="32"/>
                        </w:rPr>
                        <w:t>xclusions</w:t>
                      </w:r>
                      <w:r>
                        <w:rPr>
                          <w:b/>
                          <w:color w:val="2E74B5" w:themeColor="accent1" w:themeShade="BF"/>
                          <w:sz w:val="32"/>
                        </w:rPr>
                        <w:t xml:space="preserve"> and part-time timetables</w:t>
                      </w:r>
                    </w:p>
                    <w:p w:rsidR="0048076C" w:rsidRPr="00EB1929" w:rsidRDefault="0048076C" w:rsidP="007D061F">
                      <w:pPr>
                        <w:jc w:val="center"/>
                        <w:rPr>
                          <w:b/>
                          <w:color w:val="2E74B5" w:themeColor="accent1" w:themeShade="BF"/>
                          <w:sz w:val="32"/>
                        </w:rPr>
                      </w:pPr>
                    </w:p>
                    <w:p w:rsidR="00834B27" w:rsidRDefault="00834B27"/>
                  </w:txbxContent>
                </v:textbox>
                <w10:wrap type="square" anchorx="margin"/>
              </v:shape>
            </w:pict>
          </mc:Fallback>
        </mc:AlternateContent>
      </w:r>
      <w:r>
        <w:rPr>
          <w:noProof/>
          <w:lang w:eastAsia="en-GB"/>
        </w:rPr>
        <w:drawing>
          <wp:inline distT="0" distB="0" distL="0" distR="0" wp14:anchorId="6175DF90" wp14:editId="020E8D07">
            <wp:extent cx="2263140" cy="67056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1835" cy="676099"/>
                    </a:xfrm>
                    <a:prstGeom prst="rect">
                      <a:avLst/>
                    </a:prstGeom>
                  </pic:spPr>
                </pic:pic>
              </a:graphicData>
            </a:graphic>
          </wp:inline>
        </w:drawing>
      </w:r>
    </w:p>
    <w:p w:rsidR="00C273FF" w:rsidRDefault="00C273FF" w:rsidP="00C72C97">
      <w:pPr>
        <w:rPr>
          <w:b/>
          <w:caps/>
          <w:noProof/>
          <w:sz w:val="24"/>
          <w:lang w:eastAsia="en-GB"/>
        </w:rPr>
      </w:pPr>
    </w:p>
    <w:p w:rsidR="00C273FF" w:rsidRDefault="00C273FF" w:rsidP="00C72C97">
      <w:pPr>
        <w:rPr>
          <w:rFonts w:ascii="Arial" w:hAnsi="Arial" w:cs="Arial"/>
          <w:b/>
          <w:sz w:val="24"/>
        </w:rPr>
      </w:pPr>
    </w:p>
    <w:p w:rsidR="00C72C97" w:rsidRDefault="00C72C97" w:rsidP="002068E7">
      <w:pPr>
        <w:rPr>
          <w:rFonts w:ascii="Arial" w:hAnsi="Arial" w:cs="Arial"/>
          <w:b/>
          <w:sz w:val="24"/>
        </w:rPr>
      </w:pPr>
    </w:p>
    <w:p w:rsidR="00982434" w:rsidRDefault="00982434" w:rsidP="002068E7">
      <w:pPr>
        <w:rPr>
          <w:rFonts w:ascii="Arial" w:hAnsi="Arial" w:cs="Arial"/>
          <w:b/>
          <w:sz w:val="24"/>
        </w:rPr>
      </w:pPr>
    </w:p>
    <w:p w:rsidR="00982434" w:rsidRPr="00CF37E1" w:rsidRDefault="00834B27" w:rsidP="002068E7">
      <w:pPr>
        <w:rPr>
          <w:rFonts w:ascii="Arial" w:hAnsi="Arial" w:cs="Arial"/>
          <w:b/>
          <w:color w:val="2E74B5" w:themeColor="accent1" w:themeShade="BF"/>
          <w:sz w:val="28"/>
        </w:rPr>
      </w:pPr>
      <w:r w:rsidRPr="00CF37E1">
        <w:rPr>
          <w:rFonts w:ascii="Arial" w:hAnsi="Arial" w:cs="Arial"/>
          <w:b/>
          <w:color w:val="2E74B5" w:themeColor="accent1" w:themeShade="BF"/>
          <w:sz w:val="28"/>
        </w:rPr>
        <w:t>P</w:t>
      </w:r>
      <w:r w:rsidR="00EB1929" w:rsidRPr="00CF37E1">
        <w:rPr>
          <w:rFonts w:ascii="Arial" w:hAnsi="Arial" w:cs="Arial"/>
          <w:b/>
          <w:color w:val="2E74B5" w:themeColor="accent1" w:themeShade="BF"/>
          <w:sz w:val="28"/>
        </w:rPr>
        <w:t>URPOSE</w:t>
      </w:r>
    </w:p>
    <w:p w:rsidR="00CF2FFD" w:rsidRDefault="00CF2FFD" w:rsidP="002068E7">
      <w:pPr>
        <w:rPr>
          <w:rFonts w:ascii="Arial" w:hAnsi="Arial" w:cs="Arial"/>
          <w:sz w:val="24"/>
        </w:rPr>
      </w:pPr>
    </w:p>
    <w:p w:rsidR="00C273FF" w:rsidRDefault="00C273FF" w:rsidP="002068E7">
      <w:pPr>
        <w:pStyle w:val="ListParagraph"/>
        <w:numPr>
          <w:ilvl w:val="0"/>
          <w:numId w:val="26"/>
        </w:numPr>
        <w:ind w:left="284" w:hanging="284"/>
        <w:rPr>
          <w:rFonts w:ascii="Arial" w:hAnsi="Arial" w:cs="Arial"/>
          <w:sz w:val="24"/>
        </w:rPr>
      </w:pPr>
      <w:r w:rsidRPr="0048076C">
        <w:rPr>
          <w:rFonts w:ascii="Arial" w:hAnsi="Arial" w:cs="Arial"/>
          <w:sz w:val="24"/>
        </w:rPr>
        <w:t>This paper</w:t>
      </w:r>
      <w:r w:rsidR="009E3CEF" w:rsidRPr="0048076C">
        <w:rPr>
          <w:rFonts w:ascii="Arial" w:hAnsi="Arial" w:cs="Arial"/>
          <w:sz w:val="24"/>
        </w:rPr>
        <w:t xml:space="preserve"> from P</w:t>
      </w:r>
      <w:r w:rsidR="0048076C">
        <w:rPr>
          <w:rFonts w:ascii="Arial" w:hAnsi="Arial" w:cs="Arial"/>
          <w:sz w:val="24"/>
        </w:rPr>
        <w:t>ortsmouth City Council</w:t>
      </w:r>
      <w:r w:rsidR="00CF37E1">
        <w:rPr>
          <w:rFonts w:ascii="Arial" w:hAnsi="Arial" w:cs="Arial"/>
          <w:sz w:val="24"/>
        </w:rPr>
        <w:t xml:space="preserve"> considers the case for a renewed collective PEP focus on reducing time lost from school through non-attendance, exclusion or </w:t>
      </w:r>
      <w:r w:rsidR="0097422C">
        <w:rPr>
          <w:rFonts w:ascii="Arial" w:hAnsi="Arial" w:cs="Arial"/>
          <w:sz w:val="24"/>
        </w:rPr>
        <w:t>reduced/part-time time</w:t>
      </w:r>
      <w:r w:rsidR="00CF37E1">
        <w:rPr>
          <w:rFonts w:ascii="Arial" w:hAnsi="Arial" w:cs="Arial"/>
          <w:sz w:val="24"/>
        </w:rPr>
        <w:t xml:space="preserve">tables against the background of learning loss through the pandemic. The paper: </w:t>
      </w:r>
    </w:p>
    <w:p w:rsidR="002068E7" w:rsidRDefault="002068E7" w:rsidP="002068E7">
      <w:pPr>
        <w:pStyle w:val="ListParagraph"/>
        <w:ind w:left="284"/>
        <w:rPr>
          <w:rFonts w:ascii="Arial" w:hAnsi="Arial" w:cs="Arial"/>
          <w:sz w:val="24"/>
        </w:rPr>
      </w:pPr>
    </w:p>
    <w:p w:rsidR="009E4667" w:rsidRDefault="009E4667" w:rsidP="002068E7">
      <w:pPr>
        <w:pStyle w:val="ListParagraph"/>
        <w:numPr>
          <w:ilvl w:val="0"/>
          <w:numId w:val="22"/>
        </w:numPr>
        <w:rPr>
          <w:rFonts w:ascii="Arial" w:hAnsi="Arial" w:cs="Arial"/>
          <w:b/>
          <w:sz w:val="24"/>
        </w:rPr>
      </w:pPr>
      <w:r>
        <w:rPr>
          <w:rFonts w:ascii="Arial" w:hAnsi="Arial" w:cs="Arial"/>
          <w:sz w:val="24"/>
        </w:rPr>
        <w:t xml:space="preserve">Updates the Board on the most recent comparative (pre-pandemic) data on school attendance and exclusions and shares local data on the use of part-time timetables  </w:t>
      </w:r>
    </w:p>
    <w:p w:rsidR="009E4667" w:rsidRPr="0048076C" w:rsidRDefault="009E4667" w:rsidP="002068E7">
      <w:pPr>
        <w:pStyle w:val="ListParagraph"/>
        <w:numPr>
          <w:ilvl w:val="0"/>
          <w:numId w:val="22"/>
        </w:numPr>
        <w:rPr>
          <w:rFonts w:ascii="Arial" w:hAnsi="Arial" w:cs="Arial"/>
          <w:b/>
          <w:sz w:val="24"/>
        </w:rPr>
      </w:pPr>
      <w:r>
        <w:rPr>
          <w:rFonts w:ascii="Arial" w:hAnsi="Arial" w:cs="Arial"/>
          <w:sz w:val="24"/>
        </w:rPr>
        <w:t>Sets out for the Board the wide range of work that has taken place over the past few years to improve attendance and reduce exclusions / part-time timetables</w:t>
      </w:r>
    </w:p>
    <w:p w:rsidR="009E4667" w:rsidRPr="009E4667" w:rsidRDefault="009E4667" w:rsidP="002068E7">
      <w:pPr>
        <w:pStyle w:val="ListParagraph"/>
        <w:numPr>
          <w:ilvl w:val="0"/>
          <w:numId w:val="22"/>
        </w:numPr>
        <w:rPr>
          <w:rFonts w:ascii="Arial" w:hAnsi="Arial" w:cs="Arial"/>
          <w:b/>
          <w:sz w:val="24"/>
        </w:rPr>
      </w:pPr>
      <w:r w:rsidRPr="0048076C">
        <w:rPr>
          <w:rFonts w:ascii="Arial" w:hAnsi="Arial" w:cs="Arial"/>
          <w:sz w:val="24"/>
        </w:rPr>
        <w:t>Sets out PCC's concern about</w:t>
      </w:r>
      <w:r>
        <w:rPr>
          <w:rFonts w:ascii="Arial" w:hAnsi="Arial" w:cs="Arial"/>
          <w:sz w:val="24"/>
        </w:rPr>
        <w:t xml:space="preserve"> time lost from school by children</w:t>
      </w:r>
      <w:r w:rsidRPr="0048076C">
        <w:rPr>
          <w:rFonts w:ascii="Arial" w:hAnsi="Arial" w:cs="Arial"/>
          <w:sz w:val="24"/>
        </w:rPr>
        <w:t xml:space="preserve">, our belief in the potential for improvement, and our request to PEP Partners for their engagement in a drive to secure that improvement on a consistent basis across the city. </w:t>
      </w:r>
    </w:p>
    <w:p w:rsidR="009E4667" w:rsidRDefault="009E4667" w:rsidP="002068E7">
      <w:pPr>
        <w:rPr>
          <w:rFonts w:ascii="Arial" w:hAnsi="Arial" w:cs="Arial"/>
          <w:b/>
          <w:sz w:val="24"/>
        </w:rPr>
      </w:pPr>
    </w:p>
    <w:p w:rsidR="009E4667" w:rsidRPr="00CF37E1" w:rsidRDefault="009E4667" w:rsidP="002068E7">
      <w:pPr>
        <w:rPr>
          <w:rFonts w:ascii="Arial" w:hAnsi="Arial" w:cs="Arial"/>
          <w:b/>
          <w:color w:val="2E74B5" w:themeColor="accent1" w:themeShade="BF"/>
          <w:sz w:val="28"/>
        </w:rPr>
      </w:pPr>
      <w:r>
        <w:rPr>
          <w:rFonts w:ascii="Arial" w:hAnsi="Arial" w:cs="Arial"/>
          <w:b/>
          <w:color w:val="2E74B5" w:themeColor="accent1" w:themeShade="BF"/>
          <w:sz w:val="28"/>
        </w:rPr>
        <w:t>INTRODUCTION</w:t>
      </w:r>
    </w:p>
    <w:p w:rsidR="009E4667" w:rsidRPr="009E4667" w:rsidRDefault="009E4667" w:rsidP="002068E7">
      <w:pPr>
        <w:rPr>
          <w:rFonts w:ascii="Arial" w:hAnsi="Arial" w:cs="Arial"/>
          <w:b/>
          <w:sz w:val="24"/>
        </w:rPr>
      </w:pPr>
    </w:p>
    <w:p w:rsidR="002068E7" w:rsidRDefault="009E4667" w:rsidP="002068E7">
      <w:pPr>
        <w:pStyle w:val="ListParagraph"/>
        <w:numPr>
          <w:ilvl w:val="0"/>
          <w:numId w:val="26"/>
        </w:numPr>
        <w:ind w:left="284" w:hanging="284"/>
        <w:rPr>
          <w:rFonts w:ascii="Arial" w:hAnsi="Arial" w:cs="Arial"/>
          <w:sz w:val="24"/>
        </w:rPr>
      </w:pPr>
      <w:r w:rsidRPr="002068E7">
        <w:rPr>
          <w:rFonts w:ascii="Arial" w:hAnsi="Arial" w:cs="Arial"/>
          <w:sz w:val="24"/>
        </w:rPr>
        <w:t>Schools in Portsmouth are coming to the end of an extraordinary two academic years in which the global Coronavirus pandemic has put huge pressure on school leaders, teachers and other staff. They have been faced with the immense challenges of providing Covid safe environments when children have been in school, developing and delivering remote learning options at speed and supporting families practically and emotionally in a wide range of ways. They are working out how to make the best possible use locally of national resourcing for education recovery including summer schools and arrangements for individual and small group tutoring. These have been, and continue to be, times of unparalleled challenge for schools to which they have responded with energy, imagination and hugely impressive resilience</w:t>
      </w:r>
      <w:r w:rsidR="002068E7" w:rsidRPr="002068E7">
        <w:rPr>
          <w:rFonts w:ascii="Arial" w:hAnsi="Arial" w:cs="Arial"/>
          <w:sz w:val="24"/>
        </w:rPr>
        <w:t>.</w:t>
      </w:r>
    </w:p>
    <w:p w:rsidR="002068E7" w:rsidRPr="002068E7" w:rsidRDefault="002068E7" w:rsidP="002068E7">
      <w:pPr>
        <w:pStyle w:val="ListParagraph"/>
        <w:ind w:left="284"/>
        <w:rPr>
          <w:rFonts w:ascii="Arial" w:hAnsi="Arial" w:cs="Arial"/>
          <w:sz w:val="24"/>
        </w:rPr>
      </w:pPr>
    </w:p>
    <w:p w:rsidR="009E4667" w:rsidRDefault="009E4667" w:rsidP="002068E7">
      <w:pPr>
        <w:pStyle w:val="ListParagraph"/>
        <w:numPr>
          <w:ilvl w:val="0"/>
          <w:numId w:val="26"/>
        </w:numPr>
        <w:ind w:left="284" w:hanging="284"/>
        <w:rPr>
          <w:rFonts w:ascii="Arial" w:hAnsi="Arial" w:cs="Arial"/>
          <w:sz w:val="24"/>
        </w:rPr>
      </w:pPr>
      <w:r>
        <w:rPr>
          <w:rFonts w:ascii="Arial" w:hAnsi="Arial" w:cs="Arial"/>
          <w:sz w:val="24"/>
        </w:rPr>
        <w:t>We have heard and can see from data that the majority of children have returned to face to face learning enthusiastic and keen to learn, and some have developed new resilience and adaptability through their experience of the pandemic. In common with other areas, however, we know that there are still a significant number of children who are not regularly attending when they could be. We also know that some children have experienced fixed term exclusion from school over the course of this time; we have shared data weekly on this. The attached additional data on part-time timetables also shows that a number of children, while not subject to formal fixed term exclusion, are nevertheless not able to attend school full time. We generally have good processes and data in Portsmouth so we are better placed than many areas to judge the full extent of lost school time. We do pick up anecdotal evidence from time to time of parents and carers being asked to collect children early from school, however, so we cannot exclude the possibility of our data slightly underestimating lost time</w:t>
      </w:r>
      <w:r w:rsidR="002068E7">
        <w:rPr>
          <w:rFonts w:ascii="Arial" w:hAnsi="Arial" w:cs="Arial"/>
          <w:sz w:val="24"/>
        </w:rPr>
        <w:t>.</w:t>
      </w:r>
    </w:p>
    <w:p w:rsidR="002068E7" w:rsidRDefault="002068E7" w:rsidP="002068E7">
      <w:pPr>
        <w:pStyle w:val="ListParagraph"/>
        <w:ind w:left="284"/>
        <w:rPr>
          <w:rFonts w:ascii="Arial" w:hAnsi="Arial" w:cs="Arial"/>
          <w:sz w:val="24"/>
        </w:rPr>
      </w:pPr>
    </w:p>
    <w:p w:rsidR="002068E7" w:rsidRDefault="002068E7" w:rsidP="002068E7">
      <w:pPr>
        <w:pStyle w:val="ListParagraph"/>
        <w:numPr>
          <w:ilvl w:val="0"/>
          <w:numId w:val="26"/>
        </w:numPr>
        <w:ind w:left="284" w:hanging="284"/>
        <w:rPr>
          <w:rFonts w:ascii="Arial" w:hAnsi="Arial" w:cs="Arial"/>
          <w:sz w:val="24"/>
        </w:rPr>
      </w:pPr>
      <w:r>
        <w:rPr>
          <w:rFonts w:ascii="Arial" w:hAnsi="Arial" w:cs="Arial"/>
          <w:sz w:val="24"/>
        </w:rPr>
        <w:t>It is clear from the studies which have been undertaken nationally, and from the evidence Portsmouth school leaders have shared with us, that the pandemic has had a significant impact on children's learning. While we can and should contribute to national debate about what is now needed to address this, we know that decisions will be taken by others on this. In our own city, we are in a position, and have a clear responsibility, to reflect hard together on what we need to try to do to give our children the very best life chances.</w:t>
      </w:r>
    </w:p>
    <w:p w:rsidR="002068E7" w:rsidRDefault="002068E7" w:rsidP="002068E7">
      <w:pPr>
        <w:pStyle w:val="ListParagraph"/>
        <w:ind w:left="284"/>
        <w:rPr>
          <w:rFonts w:ascii="Arial" w:hAnsi="Arial" w:cs="Arial"/>
          <w:sz w:val="24"/>
        </w:rPr>
      </w:pPr>
    </w:p>
    <w:p w:rsidR="002068E7" w:rsidRPr="0048076C" w:rsidRDefault="002068E7" w:rsidP="002068E7">
      <w:pPr>
        <w:pStyle w:val="ListParagraph"/>
        <w:numPr>
          <w:ilvl w:val="0"/>
          <w:numId w:val="26"/>
        </w:numPr>
        <w:ind w:left="284" w:hanging="284"/>
        <w:rPr>
          <w:rFonts w:ascii="Arial" w:hAnsi="Arial" w:cs="Arial"/>
          <w:sz w:val="24"/>
        </w:rPr>
      </w:pPr>
      <w:r>
        <w:rPr>
          <w:rFonts w:ascii="Arial" w:hAnsi="Arial" w:cs="Arial"/>
          <w:sz w:val="24"/>
        </w:rPr>
        <w:t>Historically, we know that children in Portsmouth have experienced, pre pandemic, more lost school time than in other areas, including areas with as much or greater social deprivation than Portsmouth. This paper sets out what we know about our position from the most recently available pre pandemic data as well as local intelligence about learning loss from the use of part-time timetables, which is not collected nationally. It calls for a new collective commitment significantly to reduce lost school time in the city as we move forward into recovery from the pandemic</w:t>
      </w:r>
    </w:p>
    <w:p w:rsidR="00D411BF" w:rsidRDefault="00D411BF" w:rsidP="002068E7">
      <w:pPr>
        <w:rPr>
          <w:rFonts w:ascii="Arial" w:hAnsi="Arial" w:cs="Arial"/>
          <w:b/>
          <w:sz w:val="24"/>
        </w:rPr>
      </w:pPr>
    </w:p>
    <w:p w:rsidR="00C72C97" w:rsidRPr="0048076C" w:rsidRDefault="0019490B" w:rsidP="002068E7">
      <w:pPr>
        <w:rPr>
          <w:rFonts w:ascii="Arial" w:hAnsi="Arial" w:cs="Arial"/>
          <w:b/>
          <w:color w:val="2E74B5" w:themeColor="accent1" w:themeShade="BF"/>
          <w:sz w:val="28"/>
        </w:rPr>
      </w:pPr>
      <w:r w:rsidRPr="0048076C">
        <w:rPr>
          <w:rFonts w:ascii="Arial" w:hAnsi="Arial" w:cs="Arial"/>
          <w:b/>
          <w:color w:val="2E74B5" w:themeColor="accent1" w:themeShade="BF"/>
          <w:sz w:val="28"/>
        </w:rPr>
        <w:t>ATTENDANCE AND EXCLUSIONS DATA</w:t>
      </w:r>
      <w:r w:rsidR="00CF37E1">
        <w:rPr>
          <w:rFonts w:ascii="Arial" w:hAnsi="Arial" w:cs="Arial"/>
          <w:b/>
          <w:color w:val="2E74B5" w:themeColor="accent1" w:themeShade="BF"/>
          <w:sz w:val="28"/>
        </w:rPr>
        <w:t xml:space="preserve"> PRE PANDEMIC</w:t>
      </w:r>
    </w:p>
    <w:p w:rsidR="004B3BFA" w:rsidRDefault="004B3BFA" w:rsidP="002068E7">
      <w:pPr>
        <w:rPr>
          <w:rFonts w:ascii="Arial" w:hAnsi="Arial" w:cs="Arial"/>
          <w:b/>
          <w:sz w:val="24"/>
        </w:rPr>
      </w:pPr>
    </w:p>
    <w:p w:rsidR="0019490B" w:rsidRPr="0048076C" w:rsidRDefault="0019490B" w:rsidP="002068E7">
      <w:pPr>
        <w:pStyle w:val="ListParagraph"/>
        <w:numPr>
          <w:ilvl w:val="0"/>
          <w:numId w:val="26"/>
        </w:numPr>
        <w:ind w:left="426"/>
        <w:rPr>
          <w:rFonts w:ascii="Arial" w:hAnsi="Arial" w:cs="Arial"/>
          <w:sz w:val="24"/>
        </w:rPr>
      </w:pPr>
      <w:r w:rsidRPr="0048076C">
        <w:rPr>
          <w:rFonts w:ascii="Arial" w:hAnsi="Arial" w:cs="Arial"/>
          <w:sz w:val="24"/>
        </w:rPr>
        <w:t>There are several key performance indicators around school attendance and exclusions.  The DfE publishes the data for all Upper-Tier Local Authority Areas.</w:t>
      </w:r>
    </w:p>
    <w:p w:rsidR="0019490B" w:rsidRDefault="0019490B" w:rsidP="002068E7">
      <w:pPr>
        <w:ind w:left="426"/>
        <w:rPr>
          <w:rFonts w:ascii="Arial" w:hAnsi="Arial" w:cs="Arial"/>
          <w:sz w:val="24"/>
        </w:rPr>
      </w:pPr>
    </w:p>
    <w:p w:rsidR="0019490B" w:rsidRDefault="0019490B" w:rsidP="002068E7">
      <w:pPr>
        <w:pStyle w:val="ListParagraph"/>
        <w:numPr>
          <w:ilvl w:val="0"/>
          <w:numId w:val="26"/>
        </w:numPr>
        <w:ind w:left="426"/>
        <w:rPr>
          <w:rFonts w:ascii="Arial" w:hAnsi="Arial" w:cs="Arial"/>
          <w:sz w:val="24"/>
        </w:rPr>
      </w:pPr>
      <w:r w:rsidRPr="0048076C">
        <w:rPr>
          <w:rFonts w:ascii="Arial" w:hAnsi="Arial" w:cs="Arial"/>
          <w:sz w:val="24"/>
        </w:rPr>
        <w:t>The Table</w:t>
      </w:r>
      <w:r w:rsidR="00542FB0" w:rsidRPr="0048076C">
        <w:rPr>
          <w:rFonts w:ascii="Arial" w:hAnsi="Arial" w:cs="Arial"/>
          <w:sz w:val="24"/>
        </w:rPr>
        <w:t>s</w:t>
      </w:r>
      <w:r w:rsidR="00CF37E1">
        <w:rPr>
          <w:rFonts w:ascii="Arial" w:hAnsi="Arial" w:cs="Arial"/>
          <w:sz w:val="24"/>
        </w:rPr>
        <w:t xml:space="preserve"> below outline the most recently available </w:t>
      </w:r>
      <w:r w:rsidRPr="0048076C">
        <w:rPr>
          <w:rFonts w:ascii="Arial" w:hAnsi="Arial" w:cs="Arial"/>
          <w:sz w:val="24"/>
        </w:rPr>
        <w:t>position with regard to key indicators, including our position against</w:t>
      </w:r>
      <w:r w:rsidR="00542FB0" w:rsidRPr="0048076C">
        <w:rPr>
          <w:rFonts w:ascii="Arial" w:hAnsi="Arial" w:cs="Arial"/>
          <w:sz w:val="24"/>
        </w:rPr>
        <w:t xml:space="preserve"> all </w:t>
      </w:r>
      <w:r w:rsidRPr="0048076C">
        <w:rPr>
          <w:rFonts w:ascii="Arial" w:hAnsi="Arial" w:cs="Arial"/>
          <w:sz w:val="24"/>
        </w:rPr>
        <w:t>152 Upper Tier Local Authority Areas.</w:t>
      </w:r>
    </w:p>
    <w:p w:rsidR="00935854" w:rsidRDefault="00935854" w:rsidP="00935854">
      <w:pPr>
        <w:rPr>
          <w:rFonts w:ascii="Arial" w:hAnsi="Arial" w:cs="Arial"/>
          <w:sz w:val="24"/>
        </w:rPr>
      </w:pPr>
    </w:p>
    <w:tbl>
      <w:tblPr>
        <w:tblStyle w:val="TableGrid"/>
        <w:tblW w:w="0" w:type="auto"/>
        <w:tblLook w:val="04A0" w:firstRow="1" w:lastRow="0" w:firstColumn="1" w:lastColumn="0" w:noHBand="0" w:noVBand="1"/>
      </w:tblPr>
      <w:tblGrid>
        <w:gridCol w:w="4508"/>
        <w:gridCol w:w="4508"/>
      </w:tblGrid>
      <w:tr w:rsidR="00935854" w:rsidTr="00772BC5">
        <w:tc>
          <w:tcPr>
            <w:tcW w:w="9016" w:type="dxa"/>
            <w:gridSpan w:val="2"/>
          </w:tcPr>
          <w:p w:rsidR="00935854" w:rsidRDefault="00935854" w:rsidP="00772BC5">
            <w:pPr>
              <w:rPr>
                <w:rFonts w:ascii="Arial" w:hAnsi="Arial" w:cs="Arial"/>
                <w:sz w:val="24"/>
              </w:rPr>
            </w:pPr>
            <w:r w:rsidRPr="008F76DD">
              <w:rPr>
                <w:rFonts w:ascii="Arial" w:hAnsi="Arial" w:cs="Arial"/>
                <w:b/>
                <w:sz w:val="24"/>
              </w:rPr>
              <w:t>Persistent Absence</w:t>
            </w:r>
            <w:r>
              <w:rPr>
                <w:rFonts w:ascii="Arial" w:hAnsi="Arial" w:cs="Arial"/>
                <w:b/>
                <w:sz w:val="24"/>
              </w:rPr>
              <w:t xml:space="preserve"> - Primary</w:t>
            </w:r>
          </w:p>
        </w:tc>
      </w:tr>
      <w:tr w:rsidR="00935854" w:rsidTr="00772BC5">
        <w:tc>
          <w:tcPr>
            <w:tcW w:w="4508" w:type="dxa"/>
          </w:tcPr>
          <w:p w:rsidR="00935854" w:rsidRPr="00314A2F" w:rsidRDefault="00935854" w:rsidP="00772BC5">
            <w:pPr>
              <w:rPr>
                <w:rFonts w:ascii="Arial" w:hAnsi="Arial" w:cs="Arial"/>
                <w:b/>
                <w:sz w:val="24"/>
              </w:rPr>
            </w:pPr>
            <w:r w:rsidRPr="00314A2F">
              <w:rPr>
                <w:rFonts w:ascii="Arial" w:hAnsi="Arial" w:cs="Arial"/>
                <w:b/>
                <w:sz w:val="24"/>
              </w:rPr>
              <w:t>2018/19 Rate (% of pupils)</w:t>
            </w:r>
          </w:p>
        </w:tc>
        <w:tc>
          <w:tcPr>
            <w:tcW w:w="4508" w:type="dxa"/>
          </w:tcPr>
          <w:p w:rsidR="00935854" w:rsidRDefault="00935854" w:rsidP="00772BC5">
            <w:pPr>
              <w:rPr>
                <w:rFonts w:ascii="Arial" w:hAnsi="Arial" w:cs="Arial"/>
                <w:sz w:val="24"/>
              </w:rPr>
            </w:pPr>
            <w:r>
              <w:rPr>
                <w:rFonts w:ascii="Arial" w:hAnsi="Arial" w:cs="Arial"/>
                <w:sz w:val="24"/>
              </w:rPr>
              <w:t>8.7%</w:t>
            </w:r>
          </w:p>
        </w:tc>
      </w:tr>
      <w:tr w:rsidR="00935854" w:rsidTr="00772BC5">
        <w:tc>
          <w:tcPr>
            <w:tcW w:w="4508" w:type="dxa"/>
          </w:tcPr>
          <w:p w:rsidR="00935854" w:rsidRPr="00314A2F" w:rsidRDefault="00935854" w:rsidP="00772BC5">
            <w:pPr>
              <w:rPr>
                <w:rFonts w:ascii="Arial" w:hAnsi="Arial" w:cs="Arial"/>
                <w:b/>
                <w:sz w:val="24"/>
              </w:rPr>
            </w:pPr>
            <w:r w:rsidRPr="00314A2F">
              <w:rPr>
                <w:rFonts w:ascii="Arial" w:hAnsi="Arial" w:cs="Arial"/>
                <w:b/>
                <w:sz w:val="24"/>
              </w:rPr>
              <w:t>National Rank</w:t>
            </w:r>
          </w:p>
        </w:tc>
        <w:tc>
          <w:tcPr>
            <w:tcW w:w="4508" w:type="dxa"/>
            <w:shd w:val="clear" w:color="auto" w:fill="FFE599" w:themeFill="accent4" w:themeFillTint="66"/>
          </w:tcPr>
          <w:p w:rsidR="00935854" w:rsidRDefault="00935854" w:rsidP="00772BC5">
            <w:pPr>
              <w:rPr>
                <w:rFonts w:ascii="Arial" w:hAnsi="Arial" w:cs="Arial"/>
                <w:sz w:val="24"/>
              </w:rPr>
            </w:pPr>
            <w:r>
              <w:rPr>
                <w:rFonts w:ascii="Arial" w:hAnsi="Arial" w:cs="Arial"/>
                <w:sz w:val="24"/>
              </w:rPr>
              <w:t>94</w:t>
            </w:r>
            <w:r w:rsidRPr="00314A2F">
              <w:rPr>
                <w:rFonts w:ascii="Arial" w:hAnsi="Arial" w:cs="Arial"/>
                <w:sz w:val="24"/>
                <w:vertAlign w:val="superscript"/>
              </w:rPr>
              <w:t>th</w:t>
            </w:r>
          </w:p>
        </w:tc>
      </w:tr>
      <w:tr w:rsidR="00935854" w:rsidTr="00772BC5">
        <w:tc>
          <w:tcPr>
            <w:tcW w:w="4508" w:type="dxa"/>
          </w:tcPr>
          <w:p w:rsidR="00935854" w:rsidRPr="00314A2F" w:rsidRDefault="00935854" w:rsidP="00772BC5">
            <w:pPr>
              <w:rPr>
                <w:rFonts w:ascii="Arial" w:hAnsi="Arial" w:cs="Arial"/>
                <w:b/>
                <w:sz w:val="24"/>
              </w:rPr>
            </w:pPr>
            <w:r w:rsidRPr="00314A2F">
              <w:rPr>
                <w:rFonts w:ascii="Arial" w:hAnsi="Arial" w:cs="Arial"/>
                <w:b/>
                <w:sz w:val="24"/>
              </w:rPr>
              <w:t>Three-year Trend</w:t>
            </w:r>
          </w:p>
        </w:tc>
        <w:tc>
          <w:tcPr>
            <w:tcW w:w="4508" w:type="dxa"/>
          </w:tcPr>
          <w:p w:rsidR="00935854" w:rsidRDefault="00935854" w:rsidP="00772BC5">
            <w:pPr>
              <w:rPr>
                <w:rFonts w:ascii="Arial" w:hAnsi="Arial" w:cs="Arial"/>
                <w:sz w:val="24"/>
              </w:rPr>
            </w:pPr>
            <w:r>
              <w:rPr>
                <w:rFonts w:ascii="Arial" w:hAnsi="Arial" w:cs="Arial"/>
                <w:sz w:val="24"/>
              </w:rPr>
              <w:t>Worsening</w:t>
            </w:r>
          </w:p>
        </w:tc>
      </w:tr>
      <w:tr w:rsidR="00935854" w:rsidTr="00772BC5">
        <w:tc>
          <w:tcPr>
            <w:tcW w:w="9016" w:type="dxa"/>
            <w:gridSpan w:val="2"/>
          </w:tcPr>
          <w:p w:rsidR="00935854" w:rsidRDefault="00935854" w:rsidP="00772BC5">
            <w:pPr>
              <w:rPr>
                <w:rFonts w:ascii="Arial" w:hAnsi="Arial" w:cs="Arial"/>
                <w:b/>
                <w:sz w:val="24"/>
              </w:rPr>
            </w:pPr>
            <w:r w:rsidRPr="00314A2F">
              <w:rPr>
                <w:rFonts w:ascii="Arial" w:hAnsi="Arial" w:cs="Arial"/>
                <w:b/>
                <w:sz w:val="24"/>
              </w:rPr>
              <w:t xml:space="preserve">Comparators:  </w:t>
            </w:r>
          </w:p>
          <w:p w:rsidR="00935854" w:rsidRDefault="00935854" w:rsidP="00772BC5">
            <w:pPr>
              <w:rPr>
                <w:rFonts w:ascii="Arial" w:hAnsi="Arial" w:cs="Arial"/>
                <w:b/>
                <w:sz w:val="24"/>
              </w:rPr>
            </w:pPr>
          </w:p>
          <w:p w:rsidR="00935854" w:rsidRPr="00314A2F" w:rsidRDefault="00935854" w:rsidP="00772BC5">
            <w:pPr>
              <w:rPr>
                <w:rFonts w:ascii="Arial" w:hAnsi="Arial" w:cs="Arial"/>
                <w:b/>
                <w:sz w:val="24"/>
              </w:rPr>
            </w:pPr>
            <w:r w:rsidRPr="00314A2F">
              <w:rPr>
                <w:rFonts w:ascii="Arial" w:hAnsi="Arial" w:cs="Arial"/>
              </w:rPr>
              <w:t>For this measure, Portsmouth is 2</w:t>
            </w:r>
            <w:r w:rsidRPr="00314A2F">
              <w:rPr>
                <w:rFonts w:ascii="Arial" w:hAnsi="Arial" w:cs="Arial"/>
                <w:vertAlign w:val="superscript"/>
              </w:rPr>
              <w:t>nd</w:t>
            </w:r>
            <w:r w:rsidRPr="00314A2F">
              <w:rPr>
                <w:rFonts w:ascii="Arial" w:hAnsi="Arial" w:cs="Arial"/>
              </w:rPr>
              <w:t xml:space="preserve"> highest compared to 1</w:t>
            </w:r>
            <w:r>
              <w:rPr>
                <w:rFonts w:ascii="Arial" w:hAnsi="Arial" w:cs="Arial"/>
              </w:rPr>
              <w:t>1</w:t>
            </w:r>
            <w:r w:rsidRPr="00314A2F">
              <w:rPr>
                <w:rFonts w:ascii="Arial" w:hAnsi="Arial" w:cs="Arial"/>
              </w:rPr>
              <w:t xml:space="preserve"> most similar LA areas.  Only Telford and Wrekin has better outcomes</w:t>
            </w:r>
          </w:p>
          <w:p w:rsidR="00935854" w:rsidRPr="008F76DD" w:rsidRDefault="00935854" w:rsidP="00772BC5">
            <w:pPr>
              <w:rPr>
                <w:rFonts w:ascii="Arial" w:eastAsia="Times New Roman" w:hAnsi="Arial" w:cs="Arial"/>
                <w:color w:val="000000"/>
                <w:sz w:val="16"/>
                <w:szCs w:val="16"/>
                <w:lang w:eastAsia="en-GB"/>
              </w:rPr>
            </w:pPr>
          </w:p>
        </w:tc>
      </w:tr>
    </w:tbl>
    <w:p w:rsidR="00935854" w:rsidRDefault="00935854" w:rsidP="00935854">
      <w:pPr>
        <w:rPr>
          <w:rFonts w:ascii="Arial" w:hAnsi="Arial" w:cs="Arial"/>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508"/>
        <w:gridCol w:w="4508"/>
      </w:tblGrid>
      <w:tr w:rsidR="00935854" w:rsidTr="00772BC5">
        <w:tc>
          <w:tcPr>
            <w:tcW w:w="9016" w:type="dxa"/>
            <w:gridSpan w:val="2"/>
          </w:tcPr>
          <w:p w:rsidR="00935854" w:rsidRDefault="00935854" w:rsidP="00772BC5">
            <w:pPr>
              <w:rPr>
                <w:rFonts w:ascii="Arial" w:hAnsi="Arial" w:cs="Arial"/>
                <w:sz w:val="24"/>
              </w:rPr>
            </w:pPr>
            <w:r w:rsidRPr="008F76DD">
              <w:rPr>
                <w:rFonts w:ascii="Arial" w:hAnsi="Arial" w:cs="Arial"/>
                <w:b/>
                <w:sz w:val="24"/>
              </w:rPr>
              <w:t>Persistent Absence</w:t>
            </w:r>
            <w:r>
              <w:rPr>
                <w:rFonts w:ascii="Arial" w:hAnsi="Arial" w:cs="Arial"/>
                <w:b/>
                <w:sz w:val="24"/>
              </w:rPr>
              <w:t xml:space="preserve"> - Secondary</w:t>
            </w:r>
          </w:p>
        </w:tc>
      </w:tr>
      <w:tr w:rsidR="00935854" w:rsidTr="00772BC5">
        <w:tc>
          <w:tcPr>
            <w:tcW w:w="4508" w:type="dxa"/>
          </w:tcPr>
          <w:p w:rsidR="00935854" w:rsidRPr="00314A2F" w:rsidRDefault="00935854" w:rsidP="00772BC5">
            <w:pPr>
              <w:rPr>
                <w:rFonts w:ascii="Arial" w:hAnsi="Arial" w:cs="Arial"/>
                <w:b/>
                <w:sz w:val="24"/>
              </w:rPr>
            </w:pPr>
            <w:r w:rsidRPr="00314A2F">
              <w:rPr>
                <w:rFonts w:ascii="Arial" w:hAnsi="Arial" w:cs="Arial"/>
                <w:b/>
                <w:sz w:val="24"/>
              </w:rPr>
              <w:t>2018/19 Rate (% of pupils)</w:t>
            </w:r>
          </w:p>
        </w:tc>
        <w:tc>
          <w:tcPr>
            <w:tcW w:w="4508" w:type="dxa"/>
          </w:tcPr>
          <w:p w:rsidR="00935854" w:rsidRDefault="00935854" w:rsidP="00772BC5">
            <w:pPr>
              <w:rPr>
                <w:rFonts w:ascii="Arial" w:hAnsi="Arial" w:cs="Arial"/>
                <w:sz w:val="24"/>
              </w:rPr>
            </w:pPr>
            <w:r>
              <w:rPr>
                <w:rFonts w:ascii="Arial" w:hAnsi="Arial" w:cs="Arial"/>
                <w:sz w:val="24"/>
              </w:rPr>
              <w:t>17.9%</w:t>
            </w:r>
          </w:p>
        </w:tc>
      </w:tr>
      <w:tr w:rsidR="00935854" w:rsidTr="00772BC5">
        <w:tc>
          <w:tcPr>
            <w:tcW w:w="4508" w:type="dxa"/>
          </w:tcPr>
          <w:p w:rsidR="00935854" w:rsidRPr="00314A2F" w:rsidRDefault="00935854" w:rsidP="00772BC5">
            <w:pPr>
              <w:rPr>
                <w:rFonts w:ascii="Arial" w:hAnsi="Arial" w:cs="Arial"/>
                <w:b/>
                <w:sz w:val="24"/>
              </w:rPr>
            </w:pPr>
            <w:r w:rsidRPr="00314A2F">
              <w:rPr>
                <w:rFonts w:ascii="Arial" w:hAnsi="Arial" w:cs="Arial"/>
                <w:b/>
                <w:sz w:val="24"/>
              </w:rPr>
              <w:t>National Rank</w:t>
            </w:r>
          </w:p>
        </w:tc>
        <w:tc>
          <w:tcPr>
            <w:tcW w:w="4508" w:type="dxa"/>
            <w:shd w:val="clear" w:color="auto" w:fill="FF9999"/>
          </w:tcPr>
          <w:p w:rsidR="00935854" w:rsidRDefault="00935854" w:rsidP="00772BC5">
            <w:pPr>
              <w:rPr>
                <w:rFonts w:ascii="Arial" w:hAnsi="Arial" w:cs="Arial"/>
                <w:sz w:val="24"/>
              </w:rPr>
            </w:pPr>
            <w:r>
              <w:rPr>
                <w:rFonts w:ascii="Arial" w:hAnsi="Arial" w:cs="Arial"/>
                <w:sz w:val="24"/>
              </w:rPr>
              <w:t>144</w:t>
            </w:r>
            <w:r w:rsidRPr="00314A2F">
              <w:rPr>
                <w:rFonts w:ascii="Arial" w:hAnsi="Arial" w:cs="Arial"/>
                <w:sz w:val="24"/>
                <w:vertAlign w:val="superscript"/>
              </w:rPr>
              <w:t>th</w:t>
            </w:r>
            <w:r>
              <w:rPr>
                <w:rFonts w:ascii="Arial" w:hAnsi="Arial" w:cs="Arial"/>
                <w:sz w:val="24"/>
              </w:rPr>
              <w:t xml:space="preserve">  </w:t>
            </w:r>
            <w:r w:rsidRPr="00314A2F">
              <w:rPr>
                <w:rFonts w:ascii="Arial" w:hAnsi="Arial" w:cs="Arial"/>
                <w:sz w:val="20"/>
              </w:rPr>
              <w:t>(with Bradford and Bristol)</w:t>
            </w:r>
            <w:r w:rsidRPr="00314A2F">
              <w:rPr>
                <w:rFonts w:ascii="Arial" w:hAnsi="Arial" w:cs="Arial"/>
                <w:sz w:val="20"/>
                <w:vertAlign w:val="superscript"/>
              </w:rPr>
              <w:t xml:space="preserve">  </w:t>
            </w:r>
          </w:p>
        </w:tc>
      </w:tr>
      <w:tr w:rsidR="00935854" w:rsidTr="00772BC5">
        <w:tc>
          <w:tcPr>
            <w:tcW w:w="4508" w:type="dxa"/>
          </w:tcPr>
          <w:p w:rsidR="00935854" w:rsidRPr="00314A2F" w:rsidRDefault="00935854" w:rsidP="00772BC5">
            <w:pPr>
              <w:rPr>
                <w:rFonts w:ascii="Arial" w:hAnsi="Arial" w:cs="Arial"/>
                <w:b/>
                <w:sz w:val="24"/>
              </w:rPr>
            </w:pPr>
            <w:r w:rsidRPr="00314A2F">
              <w:rPr>
                <w:rFonts w:ascii="Arial" w:hAnsi="Arial" w:cs="Arial"/>
                <w:b/>
                <w:sz w:val="24"/>
              </w:rPr>
              <w:t>Three-year Trend</w:t>
            </w:r>
          </w:p>
        </w:tc>
        <w:tc>
          <w:tcPr>
            <w:tcW w:w="4508" w:type="dxa"/>
          </w:tcPr>
          <w:p w:rsidR="00935854" w:rsidRDefault="00935854" w:rsidP="00772BC5">
            <w:pPr>
              <w:rPr>
                <w:rFonts w:ascii="Arial" w:hAnsi="Arial" w:cs="Arial"/>
                <w:sz w:val="24"/>
              </w:rPr>
            </w:pPr>
            <w:r>
              <w:rPr>
                <w:rFonts w:ascii="Arial" w:hAnsi="Arial" w:cs="Arial"/>
                <w:sz w:val="24"/>
              </w:rPr>
              <w:t>Worsening</w:t>
            </w:r>
          </w:p>
        </w:tc>
      </w:tr>
      <w:tr w:rsidR="00935854" w:rsidTr="00772BC5">
        <w:tc>
          <w:tcPr>
            <w:tcW w:w="9016" w:type="dxa"/>
            <w:gridSpan w:val="2"/>
          </w:tcPr>
          <w:p w:rsidR="00935854" w:rsidRPr="00314A2F" w:rsidRDefault="00935854" w:rsidP="00772BC5">
            <w:pPr>
              <w:rPr>
                <w:rFonts w:ascii="Arial" w:hAnsi="Arial" w:cs="Arial"/>
                <w:b/>
                <w:sz w:val="24"/>
              </w:rPr>
            </w:pPr>
            <w:r w:rsidRPr="00314A2F">
              <w:rPr>
                <w:rFonts w:ascii="Arial" w:hAnsi="Arial" w:cs="Arial"/>
                <w:b/>
                <w:sz w:val="24"/>
              </w:rPr>
              <w:t xml:space="preserve">Comparators:  </w:t>
            </w:r>
          </w:p>
          <w:p w:rsidR="00935854" w:rsidRDefault="00935854" w:rsidP="00772BC5">
            <w:pPr>
              <w:rPr>
                <w:rFonts w:ascii="Arial" w:hAnsi="Arial" w:cs="Arial"/>
                <w:sz w:val="24"/>
              </w:rPr>
            </w:pPr>
          </w:p>
          <w:p w:rsidR="00935854" w:rsidRDefault="00935854" w:rsidP="00772BC5">
            <w:pPr>
              <w:rPr>
                <w:rFonts w:ascii="Arial" w:eastAsia="Times New Roman" w:hAnsi="Arial" w:cs="Arial"/>
                <w:color w:val="000000"/>
                <w:szCs w:val="16"/>
                <w:lang w:eastAsia="en-GB"/>
              </w:rPr>
            </w:pPr>
            <w:r>
              <w:rPr>
                <w:rFonts w:ascii="Arial" w:hAnsi="Arial" w:cs="Arial"/>
                <w:sz w:val="24"/>
              </w:rPr>
              <w:t>The only LA areas with worse performance are:</w:t>
            </w:r>
            <w:r w:rsidRPr="008F76DD">
              <w:rPr>
                <w:rFonts w:ascii="Arial" w:eastAsia="Times New Roman" w:hAnsi="Arial" w:cs="Arial"/>
                <w:color w:val="000000"/>
                <w:szCs w:val="16"/>
                <w:lang w:eastAsia="en-GB"/>
              </w:rPr>
              <w:t xml:space="preserve"> </w:t>
            </w:r>
            <w:r>
              <w:rPr>
                <w:rFonts w:ascii="Arial" w:eastAsia="Times New Roman" w:hAnsi="Arial" w:cs="Arial"/>
                <w:color w:val="000000"/>
                <w:szCs w:val="16"/>
                <w:lang w:eastAsia="en-GB"/>
              </w:rPr>
              <w:t xml:space="preserve">Blackpool, Redcar and Cleveland, Salford, </w:t>
            </w:r>
            <w:r w:rsidRPr="008F76DD">
              <w:rPr>
                <w:rFonts w:ascii="Arial" w:eastAsia="Times New Roman" w:hAnsi="Arial" w:cs="Arial"/>
                <w:color w:val="000000"/>
                <w:szCs w:val="16"/>
                <w:lang w:eastAsia="en-GB"/>
              </w:rPr>
              <w:t>Knowsley</w:t>
            </w:r>
            <w:r>
              <w:rPr>
                <w:rFonts w:ascii="Arial" w:eastAsia="Times New Roman" w:hAnsi="Arial" w:cs="Arial"/>
                <w:color w:val="000000"/>
                <w:szCs w:val="16"/>
                <w:lang w:eastAsia="en-GB"/>
              </w:rPr>
              <w:t>,</w:t>
            </w:r>
            <w:r w:rsidRPr="008F76DD">
              <w:rPr>
                <w:rFonts w:ascii="Arial" w:eastAsia="Times New Roman" w:hAnsi="Arial" w:cs="Arial"/>
                <w:color w:val="000000"/>
                <w:szCs w:val="16"/>
                <w:lang w:eastAsia="en-GB"/>
              </w:rPr>
              <w:t xml:space="preserve"> Hartlepool </w:t>
            </w:r>
            <w:r>
              <w:rPr>
                <w:rFonts w:ascii="Arial" w:eastAsia="Times New Roman" w:hAnsi="Arial" w:cs="Arial"/>
                <w:color w:val="000000"/>
                <w:szCs w:val="16"/>
                <w:lang w:eastAsia="en-GB"/>
              </w:rPr>
              <w:t xml:space="preserve">and </w:t>
            </w:r>
            <w:r w:rsidRPr="008F76DD">
              <w:rPr>
                <w:rFonts w:ascii="Arial" w:eastAsia="Times New Roman" w:hAnsi="Arial" w:cs="Arial"/>
                <w:color w:val="000000"/>
                <w:szCs w:val="16"/>
                <w:lang w:eastAsia="en-GB"/>
              </w:rPr>
              <w:t>Middlesbrough</w:t>
            </w:r>
          </w:p>
          <w:p w:rsidR="00935854" w:rsidRPr="00D411BF" w:rsidRDefault="00935854" w:rsidP="00772BC5">
            <w:pPr>
              <w:rPr>
                <w:rFonts w:ascii="Arial" w:hAnsi="Arial" w:cs="Arial"/>
                <w:sz w:val="24"/>
              </w:rPr>
            </w:pPr>
            <w:r w:rsidRPr="008F76DD">
              <w:rPr>
                <w:rFonts w:ascii="Arial" w:eastAsia="Times New Roman" w:hAnsi="Arial" w:cs="Arial"/>
                <w:color w:val="000000"/>
                <w:szCs w:val="16"/>
                <w:lang w:eastAsia="en-GB"/>
              </w:rPr>
              <w:t xml:space="preserve"> </w:t>
            </w:r>
          </w:p>
        </w:tc>
      </w:tr>
    </w:tbl>
    <w:p w:rsidR="00935854" w:rsidRDefault="00935854" w:rsidP="00935854">
      <w:pPr>
        <w:rPr>
          <w:rFonts w:ascii="Arial" w:hAnsi="Arial" w:cs="Arial"/>
          <w:sz w:val="24"/>
        </w:rPr>
      </w:pPr>
    </w:p>
    <w:tbl>
      <w:tblPr>
        <w:tblStyle w:val="TableGrid"/>
        <w:tblpPr w:leftFromText="180" w:rightFromText="180" w:vertAnchor="text" w:horzAnchor="margin" w:tblpY="18"/>
        <w:tblW w:w="0" w:type="auto"/>
        <w:tblLook w:val="04A0" w:firstRow="1" w:lastRow="0" w:firstColumn="1" w:lastColumn="0" w:noHBand="0" w:noVBand="1"/>
      </w:tblPr>
      <w:tblGrid>
        <w:gridCol w:w="4508"/>
        <w:gridCol w:w="4508"/>
      </w:tblGrid>
      <w:tr w:rsidR="00935854" w:rsidTr="00772BC5">
        <w:tc>
          <w:tcPr>
            <w:tcW w:w="9016" w:type="dxa"/>
            <w:gridSpan w:val="2"/>
          </w:tcPr>
          <w:p w:rsidR="00935854" w:rsidRDefault="00935854" w:rsidP="00772BC5">
            <w:pPr>
              <w:rPr>
                <w:rFonts w:ascii="Arial" w:hAnsi="Arial" w:cs="Arial"/>
                <w:sz w:val="24"/>
              </w:rPr>
            </w:pPr>
            <w:r>
              <w:rPr>
                <w:rFonts w:ascii="Arial" w:hAnsi="Arial" w:cs="Arial"/>
                <w:b/>
                <w:sz w:val="24"/>
              </w:rPr>
              <w:t>Overall Absence - Primary</w:t>
            </w:r>
          </w:p>
        </w:tc>
      </w:tr>
      <w:tr w:rsidR="00935854" w:rsidTr="00772BC5">
        <w:tc>
          <w:tcPr>
            <w:tcW w:w="4508" w:type="dxa"/>
          </w:tcPr>
          <w:p w:rsidR="00935854" w:rsidRPr="001843D1" w:rsidRDefault="00935854" w:rsidP="00772BC5">
            <w:pPr>
              <w:rPr>
                <w:rFonts w:ascii="Arial" w:hAnsi="Arial" w:cs="Arial"/>
                <w:b/>
                <w:sz w:val="24"/>
              </w:rPr>
            </w:pPr>
            <w:r w:rsidRPr="001843D1">
              <w:rPr>
                <w:rFonts w:ascii="Arial" w:hAnsi="Arial" w:cs="Arial"/>
                <w:b/>
                <w:sz w:val="24"/>
              </w:rPr>
              <w:t>2018/19 Rate</w:t>
            </w:r>
          </w:p>
        </w:tc>
        <w:tc>
          <w:tcPr>
            <w:tcW w:w="4508" w:type="dxa"/>
          </w:tcPr>
          <w:p w:rsidR="00935854" w:rsidRDefault="00935854" w:rsidP="00772BC5">
            <w:pPr>
              <w:rPr>
                <w:rFonts w:ascii="Arial" w:hAnsi="Arial" w:cs="Arial"/>
                <w:sz w:val="24"/>
              </w:rPr>
            </w:pPr>
            <w:r>
              <w:rPr>
                <w:rFonts w:ascii="Arial" w:hAnsi="Arial" w:cs="Arial"/>
                <w:sz w:val="24"/>
              </w:rPr>
              <w:t>4.1%</w:t>
            </w:r>
          </w:p>
        </w:tc>
      </w:tr>
      <w:tr w:rsidR="00935854" w:rsidTr="00772BC5">
        <w:tc>
          <w:tcPr>
            <w:tcW w:w="4508" w:type="dxa"/>
          </w:tcPr>
          <w:p w:rsidR="00935854" w:rsidRPr="001843D1" w:rsidRDefault="00935854" w:rsidP="00772BC5">
            <w:pPr>
              <w:rPr>
                <w:rFonts w:ascii="Arial" w:hAnsi="Arial" w:cs="Arial"/>
                <w:b/>
                <w:sz w:val="24"/>
              </w:rPr>
            </w:pPr>
            <w:r w:rsidRPr="001843D1">
              <w:rPr>
                <w:rFonts w:ascii="Arial" w:hAnsi="Arial" w:cs="Arial"/>
                <w:b/>
                <w:sz w:val="24"/>
              </w:rPr>
              <w:t>National Rank</w:t>
            </w:r>
          </w:p>
        </w:tc>
        <w:tc>
          <w:tcPr>
            <w:tcW w:w="4508" w:type="dxa"/>
            <w:shd w:val="clear" w:color="auto" w:fill="FFE599" w:themeFill="accent4" w:themeFillTint="66"/>
          </w:tcPr>
          <w:p w:rsidR="00935854" w:rsidRDefault="00935854" w:rsidP="00772BC5">
            <w:pPr>
              <w:rPr>
                <w:rFonts w:ascii="Arial" w:hAnsi="Arial" w:cs="Arial"/>
                <w:sz w:val="24"/>
              </w:rPr>
            </w:pPr>
            <w:r>
              <w:rPr>
                <w:rFonts w:ascii="Arial" w:hAnsi="Arial" w:cs="Arial"/>
                <w:sz w:val="24"/>
              </w:rPr>
              <w:t>82</w:t>
            </w:r>
            <w:r w:rsidRPr="001843D1">
              <w:rPr>
                <w:rFonts w:ascii="Arial" w:hAnsi="Arial" w:cs="Arial"/>
                <w:sz w:val="24"/>
                <w:vertAlign w:val="superscript"/>
              </w:rPr>
              <w:t>nd</w:t>
            </w:r>
          </w:p>
        </w:tc>
      </w:tr>
      <w:tr w:rsidR="00935854" w:rsidTr="00772BC5">
        <w:tc>
          <w:tcPr>
            <w:tcW w:w="4508" w:type="dxa"/>
          </w:tcPr>
          <w:p w:rsidR="00935854" w:rsidRPr="001843D1" w:rsidRDefault="00935854" w:rsidP="00772BC5">
            <w:pPr>
              <w:rPr>
                <w:rFonts w:ascii="Arial" w:hAnsi="Arial" w:cs="Arial"/>
                <w:b/>
                <w:sz w:val="24"/>
              </w:rPr>
            </w:pPr>
            <w:r w:rsidRPr="001843D1">
              <w:rPr>
                <w:rFonts w:ascii="Arial" w:hAnsi="Arial" w:cs="Arial"/>
                <w:b/>
                <w:sz w:val="24"/>
              </w:rPr>
              <w:t>Three-year Trend</w:t>
            </w:r>
          </w:p>
        </w:tc>
        <w:tc>
          <w:tcPr>
            <w:tcW w:w="4508" w:type="dxa"/>
          </w:tcPr>
          <w:p w:rsidR="00935854" w:rsidRDefault="00935854" w:rsidP="00772BC5">
            <w:pPr>
              <w:rPr>
                <w:rFonts w:ascii="Arial" w:hAnsi="Arial" w:cs="Arial"/>
                <w:sz w:val="24"/>
              </w:rPr>
            </w:pPr>
            <w:r>
              <w:rPr>
                <w:rFonts w:ascii="Arial" w:hAnsi="Arial" w:cs="Arial"/>
                <w:sz w:val="24"/>
              </w:rPr>
              <w:t>Steady</w:t>
            </w:r>
          </w:p>
        </w:tc>
      </w:tr>
      <w:tr w:rsidR="00935854" w:rsidTr="00772BC5">
        <w:trPr>
          <w:trHeight w:val="599"/>
        </w:trPr>
        <w:tc>
          <w:tcPr>
            <w:tcW w:w="9016" w:type="dxa"/>
            <w:gridSpan w:val="2"/>
          </w:tcPr>
          <w:p w:rsidR="00935854" w:rsidRPr="001843D1" w:rsidRDefault="00935854" w:rsidP="00772BC5">
            <w:pPr>
              <w:rPr>
                <w:rFonts w:ascii="Arial" w:hAnsi="Arial" w:cs="Arial"/>
                <w:b/>
                <w:sz w:val="24"/>
              </w:rPr>
            </w:pPr>
            <w:r w:rsidRPr="001843D1">
              <w:rPr>
                <w:rFonts w:ascii="Arial" w:hAnsi="Arial" w:cs="Arial"/>
                <w:b/>
                <w:sz w:val="24"/>
              </w:rPr>
              <w:t>Comparators:</w:t>
            </w:r>
          </w:p>
          <w:p w:rsidR="00935854" w:rsidRDefault="00935854" w:rsidP="00772BC5">
            <w:pPr>
              <w:rPr>
                <w:rFonts w:ascii="Arial" w:hAnsi="Arial" w:cs="Arial"/>
                <w:sz w:val="24"/>
              </w:rPr>
            </w:pPr>
          </w:p>
          <w:p w:rsidR="00935854" w:rsidRPr="008F76DD" w:rsidRDefault="00935854" w:rsidP="00772BC5">
            <w:pPr>
              <w:rPr>
                <w:rFonts w:ascii="Arial" w:eastAsia="Times New Roman" w:hAnsi="Arial" w:cs="Arial"/>
                <w:color w:val="000000"/>
                <w:sz w:val="16"/>
                <w:szCs w:val="16"/>
                <w:lang w:eastAsia="en-GB"/>
              </w:rPr>
            </w:pPr>
            <w:r w:rsidRPr="00314A2F">
              <w:rPr>
                <w:rFonts w:ascii="Arial" w:hAnsi="Arial" w:cs="Arial"/>
              </w:rPr>
              <w:t>For this measure, Portsmouth is 2</w:t>
            </w:r>
            <w:r w:rsidRPr="00314A2F">
              <w:rPr>
                <w:rFonts w:ascii="Arial" w:hAnsi="Arial" w:cs="Arial"/>
                <w:vertAlign w:val="superscript"/>
              </w:rPr>
              <w:t>nd</w:t>
            </w:r>
            <w:r w:rsidRPr="00314A2F">
              <w:rPr>
                <w:rFonts w:ascii="Arial" w:hAnsi="Arial" w:cs="Arial"/>
              </w:rPr>
              <w:t xml:space="preserve"> highest compared to 1</w:t>
            </w:r>
            <w:r>
              <w:rPr>
                <w:rFonts w:ascii="Arial" w:hAnsi="Arial" w:cs="Arial"/>
              </w:rPr>
              <w:t>1</w:t>
            </w:r>
            <w:r w:rsidRPr="00314A2F">
              <w:rPr>
                <w:rFonts w:ascii="Arial" w:hAnsi="Arial" w:cs="Arial"/>
              </w:rPr>
              <w:t xml:space="preserve"> most similar LA areas.  Only Telford and Wrekin has better outcomes</w:t>
            </w:r>
          </w:p>
        </w:tc>
      </w:tr>
    </w:tbl>
    <w:p w:rsidR="00935854" w:rsidRDefault="00935854" w:rsidP="00935854">
      <w:pPr>
        <w:rPr>
          <w:rFonts w:ascii="Arial" w:hAnsi="Arial" w:cs="Arial"/>
          <w:sz w:val="24"/>
        </w:rPr>
      </w:pPr>
    </w:p>
    <w:p w:rsidR="00974AE2" w:rsidRDefault="00974AE2" w:rsidP="00935854">
      <w:pPr>
        <w:rPr>
          <w:rFonts w:ascii="Arial" w:hAnsi="Arial" w:cs="Arial"/>
          <w:sz w:val="24"/>
        </w:rPr>
      </w:pPr>
    </w:p>
    <w:tbl>
      <w:tblPr>
        <w:tblStyle w:val="TableGrid"/>
        <w:tblpPr w:leftFromText="180" w:rightFromText="180" w:vertAnchor="text" w:horzAnchor="margin" w:tblpY="-10"/>
        <w:tblW w:w="0" w:type="auto"/>
        <w:tblLook w:val="04A0" w:firstRow="1" w:lastRow="0" w:firstColumn="1" w:lastColumn="0" w:noHBand="0" w:noVBand="1"/>
      </w:tblPr>
      <w:tblGrid>
        <w:gridCol w:w="4508"/>
        <w:gridCol w:w="4508"/>
      </w:tblGrid>
      <w:tr w:rsidR="00935854" w:rsidTr="00772BC5">
        <w:tc>
          <w:tcPr>
            <w:tcW w:w="9016" w:type="dxa"/>
            <w:gridSpan w:val="2"/>
          </w:tcPr>
          <w:p w:rsidR="00935854" w:rsidRDefault="00935854" w:rsidP="00772BC5">
            <w:pPr>
              <w:rPr>
                <w:rFonts w:ascii="Arial" w:hAnsi="Arial" w:cs="Arial"/>
                <w:sz w:val="24"/>
              </w:rPr>
            </w:pPr>
            <w:r>
              <w:rPr>
                <w:rFonts w:ascii="Arial" w:hAnsi="Arial" w:cs="Arial"/>
                <w:b/>
                <w:sz w:val="24"/>
              </w:rPr>
              <w:t>Overall Absence - Secondary</w:t>
            </w:r>
          </w:p>
        </w:tc>
      </w:tr>
      <w:tr w:rsidR="00935854" w:rsidTr="00772BC5">
        <w:tc>
          <w:tcPr>
            <w:tcW w:w="4508" w:type="dxa"/>
          </w:tcPr>
          <w:p w:rsidR="00935854" w:rsidRPr="001843D1" w:rsidRDefault="00935854" w:rsidP="00772BC5">
            <w:pPr>
              <w:rPr>
                <w:rFonts w:ascii="Arial" w:hAnsi="Arial" w:cs="Arial"/>
                <w:b/>
                <w:sz w:val="24"/>
              </w:rPr>
            </w:pPr>
            <w:r w:rsidRPr="001843D1">
              <w:rPr>
                <w:rFonts w:ascii="Arial" w:hAnsi="Arial" w:cs="Arial"/>
                <w:b/>
                <w:sz w:val="24"/>
              </w:rPr>
              <w:t>2018/19 Rate</w:t>
            </w:r>
          </w:p>
        </w:tc>
        <w:tc>
          <w:tcPr>
            <w:tcW w:w="4508" w:type="dxa"/>
          </w:tcPr>
          <w:p w:rsidR="00935854" w:rsidRDefault="00935854" w:rsidP="00772BC5">
            <w:pPr>
              <w:rPr>
                <w:rFonts w:ascii="Arial" w:hAnsi="Arial" w:cs="Arial"/>
                <w:sz w:val="24"/>
              </w:rPr>
            </w:pPr>
            <w:r>
              <w:rPr>
                <w:rFonts w:ascii="Arial" w:hAnsi="Arial" w:cs="Arial"/>
                <w:sz w:val="24"/>
              </w:rPr>
              <w:t>6.7%</w:t>
            </w:r>
          </w:p>
        </w:tc>
      </w:tr>
      <w:tr w:rsidR="00935854" w:rsidTr="00772BC5">
        <w:tc>
          <w:tcPr>
            <w:tcW w:w="4508" w:type="dxa"/>
          </w:tcPr>
          <w:p w:rsidR="00935854" w:rsidRPr="001843D1" w:rsidRDefault="00935854" w:rsidP="00772BC5">
            <w:pPr>
              <w:rPr>
                <w:rFonts w:ascii="Arial" w:hAnsi="Arial" w:cs="Arial"/>
                <w:b/>
                <w:sz w:val="24"/>
              </w:rPr>
            </w:pPr>
            <w:r w:rsidRPr="001843D1">
              <w:rPr>
                <w:rFonts w:ascii="Arial" w:hAnsi="Arial" w:cs="Arial"/>
                <w:b/>
                <w:sz w:val="24"/>
              </w:rPr>
              <w:t>National Rank</w:t>
            </w:r>
          </w:p>
        </w:tc>
        <w:tc>
          <w:tcPr>
            <w:tcW w:w="4508" w:type="dxa"/>
            <w:shd w:val="clear" w:color="auto" w:fill="FF9999"/>
          </w:tcPr>
          <w:p w:rsidR="00935854" w:rsidRDefault="00935854" w:rsidP="00772BC5">
            <w:pPr>
              <w:rPr>
                <w:rFonts w:ascii="Arial" w:hAnsi="Arial" w:cs="Arial"/>
                <w:sz w:val="24"/>
              </w:rPr>
            </w:pPr>
            <w:r>
              <w:rPr>
                <w:rFonts w:ascii="Arial" w:hAnsi="Arial" w:cs="Arial"/>
                <w:sz w:val="24"/>
              </w:rPr>
              <w:t>146</w:t>
            </w:r>
            <w:r w:rsidRPr="008F76DD">
              <w:rPr>
                <w:rFonts w:ascii="Arial" w:hAnsi="Arial" w:cs="Arial"/>
                <w:sz w:val="24"/>
                <w:vertAlign w:val="superscript"/>
              </w:rPr>
              <w:t>th</w:t>
            </w:r>
            <w:r>
              <w:rPr>
                <w:rFonts w:ascii="Arial" w:hAnsi="Arial" w:cs="Arial"/>
                <w:sz w:val="24"/>
                <w:vertAlign w:val="superscript"/>
              </w:rPr>
              <w:t xml:space="preserve"> (with Bradford and Redcar)</w:t>
            </w:r>
          </w:p>
        </w:tc>
      </w:tr>
      <w:tr w:rsidR="00935854" w:rsidTr="00772BC5">
        <w:tc>
          <w:tcPr>
            <w:tcW w:w="4508" w:type="dxa"/>
          </w:tcPr>
          <w:p w:rsidR="00935854" w:rsidRPr="001843D1" w:rsidRDefault="00935854" w:rsidP="00772BC5">
            <w:pPr>
              <w:rPr>
                <w:rFonts w:ascii="Arial" w:hAnsi="Arial" w:cs="Arial"/>
                <w:b/>
                <w:sz w:val="24"/>
              </w:rPr>
            </w:pPr>
            <w:r w:rsidRPr="001843D1">
              <w:rPr>
                <w:rFonts w:ascii="Arial" w:hAnsi="Arial" w:cs="Arial"/>
                <w:b/>
                <w:sz w:val="24"/>
              </w:rPr>
              <w:t>Three-year Trend</w:t>
            </w:r>
          </w:p>
        </w:tc>
        <w:tc>
          <w:tcPr>
            <w:tcW w:w="4508" w:type="dxa"/>
          </w:tcPr>
          <w:p w:rsidR="00935854" w:rsidRDefault="00935854" w:rsidP="00772BC5">
            <w:pPr>
              <w:rPr>
                <w:rFonts w:ascii="Arial" w:hAnsi="Arial" w:cs="Arial"/>
                <w:sz w:val="24"/>
              </w:rPr>
            </w:pPr>
            <w:r>
              <w:rPr>
                <w:rFonts w:ascii="Arial" w:hAnsi="Arial" w:cs="Arial"/>
                <w:sz w:val="24"/>
              </w:rPr>
              <w:t>Worsening</w:t>
            </w:r>
          </w:p>
        </w:tc>
      </w:tr>
      <w:tr w:rsidR="00935854" w:rsidTr="00772BC5">
        <w:trPr>
          <w:trHeight w:val="599"/>
        </w:trPr>
        <w:tc>
          <w:tcPr>
            <w:tcW w:w="9016" w:type="dxa"/>
            <w:gridSpan w:val="2"/>
          </w:tcPr>
          <w:p w:rsidR="00935854" w:rsidRPr="001843D1" w:rsidRDefault="00935854" w:rsidP="00772BC5">
            <w:pPr>
              <w:rPr>
                <w:rFonts w:ascii="Arial" w:hAnsi="Arial" w:cs="Arial"/>
                <w:b/>
                <w:sz w:val="24"/>
              </w:rPr>
            </w:pPr>
            <w:r w:rsidRPr="001843D1">
              <w:rPr>
                <w:rFonts w:ascii="Arial" w:hAnsi="Arial" w:cs="Arial"/>
                <w:b/>
                <w:sz w:val="24"/>
              </w:rPr>
              <w:t xml:space="preserve">Comparators:  </w:t>
            </w:r>
          </w:p>
          <w:p w:rsidR="00935854" w:rsidRDefault="00935854" w:rsidP="00772BC5">
            <w:pPr>
              <w:rPr>
                <w:rFonts w:ascii="Arial" w:hAnsi="Arial" w:cs="Arial"/>
                <w:sz w:val="24"/>
              </w:rPr>
            </w:pPr>
          </w:p>
          <w:p w:rsidR="00935854" w:rsidRDefault="00935854" w:rsidP="00772BC5">
            <w:pPr>
              <w:rPr>
                <w:rFonts w:ascii="Arial" w:eastAsia="Times New Roman" w:hAnsi="Arial" w:cs="Arial"/>
                <w:color w:val="000000"/>
                <w:szCs w:val="16"/>
                <w:lang w:eastAsia="en-GB"/>
              </w:rPr>
            </w:pPr>
            <w:r>
              <w:rPr>
                <w:rFonts w:ascii="Arial" w:hAnsi="Arial" w:cs="Arial"/>
                <w:sz w:val="24"/>
              </w:rPr>
              <w:t>The only LA areas with worse performance are:</w:t>
            </w:r>
            <w:r>
              <w:rPr>
                <w:rFonts w:ascii="Arial" w:eastAsia="Times New Roman" w:hAnsi="Arial" w:cs="Arial"/>
                <w:color w:val="000000"/>
                <w:szCs w:val="16"/>
                <w:lang w:eastAsia="en-GB"/>
              </w:rPr>
              <w:t xml:space="preserve"> </w:t>
            </w:r>
          </w:p>
          <w:p w:rsidR="00935854" w:rsidRDefault="00935854" w:rsidP="00772BC5">
            <w:pPr>
              <w:rPr>
                <w:rFonts w:ascii="Arial" w:hAnsi="Arial" w:cs="Arial"/>
                <w:sz w:val="24"/>
              </w:rPr>
            </w:pPr>
            <w:r>
              <w:rPr>
                <w:rFonts w:ascii="Arial" w:eastAsia="Times New Roman" w:hAnsi="Arial" w:cs="Arial"/>
                <w:color w:val="000000"/>
                <w:szCs w:val="16"/>
                <w:lang w:eastAsia="en-GB"/>
              </w:rPr>
              <w:t xml:space="preserve">Salford, </w:t>
            </w:r>
            <w:r w:rsidRPr="008F76DD">
              <w:rPr>
                <w:rFonts w:ascii="Arial" w:eastAsia="Times New Roman" w:hAnsi="Arial" w:cs="Arial"/>
                <w:color w:val="000000"/>
                <w:szCs w:val="16"/>
                <w:lang w:eastAsia="en-GB"/>
              </w:rPr>
              <w:t>Knowsley</w:t>
            </w:r>
            <w:r>
              <w:rPr>
                <w:rFonts w:ascii="Arial" w:eastAsia="Times New Roman" w:hAnsi="Arial" w:cs="Arial"/>
                <w:color w:val="000000"/>
                <w:szCs w:val="16"/>
                <w:lang w:eastAsia="en-GB"/>
              </w:rPr>
              <w:t>,</w:t>
            </w:r>
            <w:r w:rsidRPr="008F76DD">
              <w:rPr>
                <w:rFonts w:ascii="Arial" w:eastAsia="Times New Roman" w:hAnsi="Arial" w:cs="Arial"/>
                <w:color w:val="000000"/>
                <w:szCs w:val="16"/>
                <w:lang w:eastAsia="en-GB"/>
              </w:rPr>
              <w:t xml:space="preserve"> Middlesbrough</w:t>
            </w:r>
            <w:r>
              <w:rPr>
                <w:rFonts w:ascii="Arial" w:eastAsia="Times New Roman" w:hAnsi="Arial" w:cs="Arial"/>
                <w:color w:val="000000"/>
                <w:szCs w:val="16"/>
                <w:lang w:eastAsia="en-GB"/>
              </w:rPr>
              <w:t>, Hartlepool</w:t>
            </w:r>
          </w:p>
          <w:p w:rsidR="00935854" w:rsidRPr="008F76DD" w:rsidRDefault="00935854" w:rsidP="00772BC5">
            <w:pPr>
              <w:rPr>
                <w:rFonts w:ascii="Arial" w:eastAsia="Times New Roman" w:hAnsi="Arial" w:cs="Arial"/>
                <w:color w:val="000000"/>
                <w:sz w:val="16"/>
                <w:szCs w:val="16"/>
                <w:lang w:eastAsia="en-GB"/>
              </w:rPr>
            </w:pPr>
          </w:p>
        </w:tc>
      </w:tr>
    </w:tbl>
    <w:p w:rsidR="00935854" w:rsidRDefault="00935854" w:rsidP="00935854">
      <w:pPr>
        <w:rPr>
          <w:rFonts w:ascii="Arial" w:hAnsi="Arial" w:cs="Arial"/>
          <w:sz w:val="24"/>
        </w:rPr>
      </w:pPr>
    </w:p>
    <w:tbl>
      <w:tblPr>
        <w:tblpPr w:leftFromText="165" w:rightFromText="165" w:vertAnchor="text"/>
        <w:tblW w:w="0" w:type="auto"/>
        <w:tblCellMar>
          <w:left w:w="0" w:type="dxa"/>
          <w:right w:w="0" w:type="dxa"/>
        </w:tblCellMar>
        <w:tblLook w:val="04A0" w:firstRow="1" w:lastRow="0" w:firstColumn="1" w:lastColumn="0" w:noHBand="0" w:noVBand="1"/>
      </w:tblPr>
      <w:tblGrid>
        <w:gridCol w:w="4503"/>
        <w:gridCol w:w="4503"/>
      </w:tblGrid>
      <w:tr w:rsidR="00974AE2" w:rsidTr="00974AE2">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b/>
                <w:bCs/>
                <w:sz w:val="24"/>
                <w:szCs w:val="24"/>
              </w:rPr>
              <w:t>Fixed Term Exclusions - Primary</w:t>
            </w:r>
          </w:p>
        </w:tc>
      </w:tr>
      <w:tr w:rsidR="00974AE2" w:rsidTr="00974AE2">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sz w:val="24"/>
                <w:szCs w:val="24"/>
              </w:rPr>
              <w:t>2018/19</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sz w:val="24"/>
                <w:szCs w:val="24"/>
              </w:rPr>
              <w:t>1.58%</w:t>
            </w:r>
          </w:p>
        </w:tc>
      </w:tr>
      <w:tr w:rsidR="00974AE2" w:rsidTr="00974AE2">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sz w:val="24"/>
                <w:szCs w:val="24"/>
              </w:rPr>
              <w:t>National Rank</w:t>
            </w:r>
          </w:p>
        </w:tc>
        <w:tc>
          <w:tcPr>
            <w:tcW w:w="4503"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sz w:val="24"/>
                <w:szCs w:val="24"/>
              </w:rPr>
              <w:t>108</w:t>
            </w:r>
            <w:r>
              <w:rPr>
                <w:rFonts w:ascii="Arial" w:hAnsi="Arial" w:cs="Arial"/>
                <w:sz w:val="24"/>
                <w:szCs w:val="24"/>
                <w:vertAlign w:val="superscript"/>
              </w:rPr>
              <w:t>th</w:t>
            </w:r>
          </w:p>
        </w:tc>
      </w:tr>
      <w:tr w:rsidR="00974AE2" w:rsidTr="00974AE2">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sz w:val="24"/>
                <w:szCs w:val="24"/>
              </w:rPr>
              <w:t>Three-year Trend</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sz w:val="24"/>
                <w:szCs w:val="24"/>
              </w:rPr>
              <w:t>Improving</w:t>
            </w:r>
          </w:p>
        </w:tc>
      </w:tr>
    </w:tbl>
    <w:p w:rsidR="00974AE2" w:rsidRDefault="00974AE2" w:rsidP="00974AE2"/>
    <w:p w:rsidR="00974AE2" w:rsidRDefault="00974AE2" w:rsidP="00974AE2">
      <w:pPr>
        <w:rPr>
          <w:lang w:eastAsia="en-GB"/>
        </w:rPr>
      </w:pPr>
    </w:p>
    <w:tbl>
      <w:tblPr>
        <w:tblpPr w:leftFromText="165" w:rightFromText="165" w:vertAnchor="text"/>
        <w:tblW w:w="0" w:type="auto"/>
        <w:tblCellMar>
          <w:left w:w="0" w:type="dxa"/>
          <w:right w:w="0" w:type="dxa"/>
        </w:tblCellMar>
        <w:tblLook w:val="04A0" w:firstRow="1" w:lastRow="0" w:firstColumn="1" w:lastColumn="0" w:noHBand="0" w:noVBand="1"/>
      </w:tblPr>
      <w:tblGrid>
        <w:gridCol w:w="4503"/>
        <w:gridCol w:w="4503"/>
      </w:tblGrid>
      <w:tr w:rsidR="00974AE2" w:rsidTr="00974AE2">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b/>
                <w:bCs/>
                <w:sz w:val="24"/>
                <w:szCs w:val="24"/>
              </w:rPr>
              <w:t>Fixed Term Exclusions - Secondary</w:t>
            </w:r>
          </w:p>
        </w:tc>
      </w:tr>
      <w:tr w:rsidR="00974AE2" w:rsidTr="00974AE2">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sz w:val="24"/>
                <w:szCs w:val="24"/>
              </w:rPr>
              <w:t>2018/19</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sz w:val="24"/>
                <w:szCs w:val="24"/>
              </w:rPr>
              <w:t>17.94%</w:t>
            </w:r>
          </w:p>
        </w:tc>
      </w:tr>
      <w:tr w:rsidR="00974AE2" w:rsidTr="00974AE2">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sz w:val="24"/>
                <w:szCs w:val="24"/>
              </w:rPr>
              <w:t>National Rank</w:t>
            </w:r>
          </w:p>
        </w:tc>
        <w:tc>
          <w:tcPr>
            <w:tcW w:w="4503" w:type="dxa"/>
            <w:tcBorders>
              <w:top w:val="nil"/>
              <w:left w:val="nil"/>
              <w:bottom w:val="single" w:sz="8" w:space="0" w:color="auto"/>
              <w:right w:val="single" w:sz="8" w:space="0" w:color="auto"/>
            </w:tcBorders>
            <w:shd w:val="clear" w:color="auto" w:fill="FF9999"/>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sz w:val="24"/>
                <w:szCs w:val="24"/>
              </w:rPr>
              <w:t>134</w:t>
            </w:r>
            <w:r>
              <w:rPr>
                <w:rFonts w:ascii="Arial" w:hAnsi="Arial" w:cs="Arial"/>
                <w:sz w:val="24"/>
                <w:szCs w:val="24"/>
                <w:vertAlign w:val="superscript"/>
              </w:rPr>
              <w:t>th</w:t>
            </w:r>
          </w:p>
        </w:tc>
      </w:tr>
      <w:tr w:rsidR="00974AE2" w:rsidTr="00974AE2">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sz w:val="24"/>
                <w:szCs w:val="24"/>
              </w:rPr>
              <w:t>Three-year Trend</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974AE2" w:rsidRDefault="00974AE2">
            <w:pPr>
              <w:rPr>
                <w:rFonts w:ascii="Arial" w:hAnsi="Arial" w:cs="Arial"/>
                <w:sz w:val="24"/>
                <w:szCs w:val="24"/>
              </w:rPr>
            </w:pPr>
            <w:r>
              <w:rPr>
                <w:rFonts w:ascii="Arial" w:hAnsi="Arial" w:cs="Arial"/>
                <w:sz w:val="24"/>
                <w:szCs w:val="24"/>
              </w:rPr>
              <w:t>Worsening - nearly quadrupled in 4 years</w:t>
            </w:r>
          </w:p>
        </w:tc>
      </w:tr>
    </w:tbl>
    <w:p w:rsidR="00974AE2" w:rsidRDefault="00974AE2" w:rsidP="00935854">
      <w:pPr>
        <w:rPr>
          <w:rFonts w:ascii="Arial" w:hAnsi="Arial" w:cs="Arial"/>
          <w:sz w:val="24"/>
        </w:rPr>
      </w:pPr>
    </w:p>
    <w:p w:rsidR="00935854" w:rsidRDefault="00935854" w:rsidP="00935854">
      <w:pPr>
        <w:rPr>
          <w:rFonts w:ascii="Arial" w:hAnsi="Arial" w:cs="Arial"/>
          <w:sz w:val="24"/>
        </w:rPr>
      </w:pPr>
      <w:r>
        <w:rPr>
          <w:rFonts w:ascii="Arial" w:hAnsi="Arial" w:cs="Arial"/>
          <w:noProof/>
          <w:sz w:val="24"/>
          <w:lang w:eastAsia="en-GB"/>
        </w:rPr>
        <w:t xml:space="preserve"> </w:t>
      </w:r>
      <w:r>
        <w:rPr>
          <w:rFonts w:ascii="Arial" w:hAnsi="Arial" w:cs="Arial"/>
          <w:noProof/>
          <w:sz w:val="24"/>
          <w:lang w:eastAsia="en-GB"/>
        </w:rPr>
        <mc:AlternateContent>
          <mc:Choice Requires="wps">
            <w:drawing>
              <wp:anchor distT="0" distB="0" distL="114300" distR="114300" simplePos="0" relativeHeight="251694080" behindDoc="0" locked="0" layoutInCell="1" allowOverlap="1" wp14:anchorId="4CFB472F" wp14:editId="5EE6A1E6">
                <wp:simplePos x="0" y="0"/>
                <wp:positionH relativeFrom="column">
                  <wp:posOffset>5448300</wp:posOffset>
                </wp:positionH>
                <wp:positionV relativeFrom="paragraph">
                  <wp:posOffset>361950</wp:posOffset>
                </wp:positionV>
                <wp:extent cx="5162550" cy="190500"/>
                <wp:effectExtent l="0" t="0" r="0" b="0"/>
                <wp:wrapNone/>
                <wp:docPr id="4" name="Rectangle 4" descr="Indicator dropdown"/>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5162550" cy="19050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5A545" id="Rectangle 4" o:spid="_x0000_s1026" alt="Indicator dropdown" style="position:absolute;margin-left:429pt;margin-top:28.5pt;width:406.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1yfQIAAOQEAAAOAAAAZHJzL2Uyb0RvYy54bWysVNtu2zAMfR+wfxD0ntoO7DQ26hS9LEOB&#10;biva7gMUSY6F2aImKXWyYf8+Sk6ydHsZhvlBlkj5kIeH9MXltu/Ii7ROga5pdpZSIjUHofS6pp+f&#10;l5M5Jc4zLVgHWtZ0Jx29XLx9czGYSk6hhU5ISxBEu2owNW29N1WSON7KnrkzMFKjswHbM49Hu06E&#10;ZQOi910yTdNZMoAVxgKXzqH1dnTSRcRvGsn9p6Zx0pOuppibj6uN6yqsyeKCVWvLTKv4Pg32D1n0&#10;TGkMeoS6ZZ6RjVV/QPWKW3DQ+DMOfQJNo7iMHJBNlv7G5qllRkYuWBxnjmVy/w+Wf3x5sESJmuaU&#10;aNajRI9YNKbXnSRoEtJxLNedFoozD5YIC0bAoEPlBuMqBHgyDzZwd+Ye+BdHNDwCFjpDQLhpEUpe&#10;WQtDK5nAzE/Mkd/zzmDQLOAlrwDDwSE0WQ0fQOAdtvEQi7xtbB8CYvnINmq5O2opt55wNBbZbFoU&#10;KDlHX1amRRrFTlh1+NpY599L6EnY1NQi7YjOXu6dD9mw6nAlBNOwVF0X+6XTrwx4cbRgbPw0+EIW&#10;Uf7vZTbN0+tpOVnO5ueTfJkXk/I8nU/SrLwuZ2le5rfLHyFulletEkLqe6XloRWz/O+k3g/F2ESx&#10;GclQ07KYFpHSSe698jhwneprOk/DM45AEOedFpGeZ6ob98nrrGJNkNrhHclG0YJOYz+sQOxQMxs6&#10;AKuPvwbctGC/UTLgmNXUfd0wKynp7jR2Q5nleZjLeMiL8yke7KlndephmiNUTT0l4/bGj7O8MVat&#10;W4yU7fleYa80KsoY+mjMat9hOEqRwX7sw6yenuOtXz+nxU8AAAD//wMAUEsDBBQABgAIAAAAIQB1&#10;Qz2s3gAAAAoBAAAPAAAAZHJzL2Rvd25yZXYueG1sTE9Na8JAEL0L/odlhF6kbiyoIc1GilAqpSCN&#10;rec1O01Cs7Mxuybpv+94ak/z8R7vI92OthE9dr52pGC5iEAgFc7UVCr4OD7fxyB80GR04wgV/KCH&#10;bTadpDoxbqB37PNQChYhn2gFVQhtIqUvKrTaL1yLxNiX66wOfHalNJ0eWNw28iGK1tLqmtih0i3u&#10;Kiy+86tVMBSH/nR8e5GH+Wnv6LK/7PLPV6XuZuPTI4iAY/gjwy0+R4eMM53dlYwXjYJ4FXOXoGC1&#10;4XkjrDdL3s4M8UdmqfxfIfsFAAD//wMAUEsBAi0AFAAGAAgAAAAhALaDOJL+AAAA4QEAABMAAAAA&#10;AAAAAAAAAAAAAAAAAFtDb250ZW50X1R5cGVzXS54bWxQSwECLQAUAAYACAAAACEAOP0h/9YAAACU&#10;AQAACwAAAAAAAAAAAAAAAAAvAQAAX3JlbHMvLnJlbHNQSwECLQAUAAYACAAAACEAoXrdcn0CAADk&#10;BAAADgAAAAAAAAAAAAAAAAAuAgAAZHJzL2Uyb0RvYy54bWxQSwECLQAUAAYACAAAACEAdUM9rN4A&#10;AAAKAQAADwAAAAAAAAAAAAAAAADXBAAAZHJzL2Rvd25yZXYueG1sUEsFBgAAAAAEAAQA8wAAAOIF&#10;AAAAAA==&#10;" filled="f" stroked="f">
                <o:lock v:ext="edit" rotation="t" shapetype="t"/>
              </v:rect>
            </w:pict>
          </mc:Fallback>
        </mc:AlternateContent>
      </w:r>
    </w:p>
    <w:tbl>
      <w:tblPr>
        <w:tblStyle w:val="TableGrid"/>
        <w:tblpPr w:leftFromText="180" w:rightFromText="180" w:vertAnchor="text" w:horzAnchor="margin" w:tblpY="-78"/>
        <w:tblW w:w="0" w:type="auto"/>
        <w:tblLook w:val="04A0" w:firstRow="1" w:lastRow="0" w:firstColumn="1" w:lastColumn="0" w:noHBand="0" w:noVBand="1"/>
      </w:tblPr>
      <w:tblGrid>
        <w:gridCol w:w="4508"/>
        <w:gridCol w:w="4508"/>
      </w:tblGrid>
      <w:tr w:rsidR="00935854" w:rsidTr="00772BC5">
        <w:tc>
          <w:tcPr>
            <w:tcW w:w="9016" w:type="dxa"/>
            <w:gridSpan w:val="2"/>
          </w:tcPr>
          <w:p w:rsidR="00935854" w:rsidRDefault="00935854" w:rsidP="00772BC5">
            <w:pPr>
              <w:rPr>
                <w:rFonts w:ascii="Arial" w:hAnsi="Arial" w:cs="Arial"/>
                <w:sz w:val="24"/>
              </w:rPr>
            </w:pPr>
            <w:r>
              <w:rPr>
                <w:rFonts w:ascii="Arial" w:hAnsi="Arial" w:cs="Arial"/>
                <w:b/>
                <w:sz w:val="24"/>
              </w:rPr>
              <w:t xml:space="preserve">Permanent Exclusions </w:t>
            </w:r>
          </w:p>
        </w:tc>
      </w:tr>
      <w:tr w:rsidR="00935854" w:rsidTr="00772BC5">
        <w:tc>
          <w:tcPr>
            <w:tcW w:w="4508" w:type="dxa"/>
          </w:tcPr>
          <w:p w:rsidR="00935854" w:rsidRDefault="00935854" w:rsidP="00772BC5">
            <w:pPr>
              <w:rPr>
                <w:rFonts w:ascii="Arial" w:hAnsi="Arial" w:cs="Arial"/>
                <w:sz w:val="24"/>
              </w:rPr>
            </w:pPr>
            <w:r>
              <w:rPr>
                <w:rFonts w:ascii="Arial" w:hAnsi="Arial" w:cs="Arial"/>
                <w:sz w:val="24"/>
              </w:rPr>
              <w:t>2018/19</w:t>
            </w:r>
          </w:p>
        </w:tc>
        <w:tc>
          <w:tcPr>
            <w:tcW w:w="4508" w:type="dxa"/>
          </w:tcPr>
          <w:p w:rsidR="00935854" w:rsidRDefault="00935854" w:rsidP="00772BC5">
            <w:pPr>
              <w:rPr>
                <w:rFonts w:ascii="Arial" w:hAnsi="Arial" w:cs="Arial"/>
                <w:sz w:val="24"/>
              </w:rPr>
            </w:pPr>
            <w:r>
              <w:rPr>
                <w:rFonts w:ascii="Arial" w:hAnsi="Arial" w:cs="Arial"/>
                <w:sz w:val="24"/>
              </w:rPr>
              <w:t>Primary - 0.01%</w:t>
            </w:r>
          </w:p>
          <w:p w:rsidR="00935854" w:rsidRDefault="00935854" w:rsidP="00772BC5">
            <w:pPr>
              <w:rPr>
                <w:rFonts w:ascii="Arial" w:hAnsi="Arial" w:cs="Arial"/>
                <w:sz w:val="24"/>
              </w:rPr>
            </w:pPr>
            <w:r>
              <w:rPr>
                <w:rFonts w:ascii="Arial" w:hAnsi="Arial" w:cs="Arial"/>
                <w:sz w:val="24"/>
              </w:rPr>
              <w:t>Secondary - 0.15%</w:t>
            </w:r>
          </w:p>
        </w:tc>
      </w:tr>
      <w:tr w:rsidR="00935854" w:rsidTr="00772BC5">
        <w:tc>
          <w:tcPr>
            <w:tcW w:w="4508" w:type="dxa"/>
          </w:tcPr>
          <w:p w:rsidR="00935854" w:rsidRDefault="00935854" w:rsidP="00772BC5">
            <w:pPr>
              <w:rPr>
                <w:rFonts w:ascii="Arial" w:hAnsi="Arial" w:cs="Arial"/>
                <w:sz w:val="24"/>
              </w:rPr>
            </w:pPr>
            <w:r>
              <w:rPr>
                <w:rFonts w:ascii="Arial" w:hAnsi="Arial" w:cs="Arial"/>
                <w:sz w:val="24"/>
              </w:rPr>
              <w:t>National Rank</w:t>
            </w:r>
          </w:p>
        </w:tc>
        <w:tc>
          <w:tcPr>
            <w:tcW w:w="4508" w:type="dxa"/>
            <w:shd w:val="clear" w:color="auto" w:fill="C5E0B3" w:themeFill="accent6" w:themeFillTint="66"/>
          </w:tcPr>
          <w:p w:rsidR="00935854" w:rsidRDefault="00935854" w:rsidP="00772BC5">
            <w:pPr>
              <w:rPr>
                <w:rFonts w:ascii="Arial" w:hAnsi="Arial" w:cs="Arial"/>
                <w:sz w:val="24"/>
              </w:rPr>
            </w:pPr>
            <w:r>
              <w:rPr>
                <w:rFonts w:ascii="Arial" w:hAnsi="Arial" w:cs="Arial"/>
                <w:sz w:val="24"/>
              </w:rPr>
              <w:t>Primary - 39th</w:t>
            </w:r>
          </w:p>
          <w:p w:rsidR="00935854" w:rsidRDefault="00935854" w:rsidP="00772BC5">
            <w:pPr>
              <w:rPr>
                <w:rFonts w:ascii="Arial" w:hAnsi="Arial" w:cs="Arial"/>
                <w:sz w:val="24"/>
              </w:rPr>
            </w:pPr>
            <w:r>
              <w:rPr>
                <w:rFonts w:ascii="Arial" w:hAnsi="Arial" w:cs="Arial"/>
                <w:sz w:val="24"/>
              </w:rPr>
              <w:t>Secondary - 47</w:t>
            </w:r>
            <w:r w:rsidRPr="003E72FC">
              <w:rPr>
                <w:rFonts w:ascii="Arial" w:hAnsi="Arial" w:cs="Arial"/>
                <w:sz w:val="24"/>
                <w:vertAlign w:val="superscript"/>
              </w:rPr>
              <w:t>th</w:t>
            </w:r>
          </w:p>
        </w:tc>
      </w:tr>
      <w:tr w:rsidR="00935854" w:rsidTr="00772BC5">
        <w:tc>
          <w:tcPr>
            <w:tcW w:w="4508" w:type="dxa"/>
          </w:tcPr>
          <w:p w:rsidR="00935854" w:rsidRDefault="00935854" w:rsidP="00772BC5">
            <w:pPr>
              <w:rPr>
                <w:rFonts w:ascii="Arial" w:hAnsi="Arial" w:cs="Arial"/>
                <w:sz w:val="24"/>
              </w:rPr>
            </w:pPr>
            <w:r>
              <w:rPr>
                <w:rFonts w:ascii="Arial" w:hAnsi="Arial" w:cs="Arial"/>
                <w:sz w:val="24"/>
              </w:rPr>
              <w:t>Three-year Trend</w:t>
            </w:r>
          </w:p>
        </w:tc>
        <w:tc>
          <w:tcPr>
            <w:tcW w:w="4508" w:type="dxa"/>
          </w:tcPr>
          <w:p w:rsidR="00935854" w:rsidRDefault="00935854" w:rsidP="00772BC5">
            <w:pPr>
              <w:rPr>
                <w:rFonts w:ascii="Arial" w:hAnsi="Arial" w:cs="Arial"/>
                <w:sz w:val="24"/>
              </w:rPr>
            </w:pPr>
            <w:r>
              <w:rPr>
                <w:rFonts w:ascii="Arial" w:hAnsi="Arial" w:cs="Arial"/>
                <w:sz w:val="24"/>
              </w:rPr>
              <w:t>Primary - Same</w:t>
            </w:r>
          </w:p>
          <w:p w:rsidR="00935854" w:rsidRDefault="00935854" w:rsidP="00772BC5">
            <w:pPr>
              <w:rPr>
                <w:rFonts w:ascii="Arial" w:hAnsi="Arial" w:cs="Arial"/>
                <w:sz w:val="24"/>
              </w:rPr>
            </w:pPr>
            <w:r>
              <w:rPr>
                <w:rFonts w:ascii="Arial" w:hAnsi="Arial" w:cs="Arial"/>
                <w:sz w:val="24"/>
              </w:rPr>
              <w:t>Secondary - Improving</w:t>
            </w:r>
          </w:p>
        </w:tc>
      </w:tr>
    </w:tbl>
    <w:p w:rsidR="002068E7" w:rsidRPr="002068E7" w:rsidRDefault="002068E7" w:rsidP="002068E7">
      <w:pPr>
        <w:rPr>
          <w:rFonts w:ascii="Arial" w:hAnsi="Arial" w:cs="Arial"/>
          <w:b/>
          <w:sz w:val="28"/>
          <w:szCs w:val="28"/>
        </w:rPr>
      </w:pPr>
      <w:r w:rsidRPr="002068E7">
        <w:rPr>
          <w:rFonts w:ascii="Arial" w:hAnsi="Arial" w:cs="Arial"/>
          <w:b/>
          <w:sz w:val="28"/>
          <w:szCs w:val="28"/>
        </w:rPr>
        <w:t>Additional measures</w:t>
      </w:r>
    </w:p>
    <w:p w:rsidR="002068E7" w:rsidRPr="002068E7" w:rsidRDefault="002068E7" w:rsidP="002068E7">
      <w:pPr>
        <w:rPr>
          <w:rFonts w:ascii="Arial" w:hAnsi="Arial" w:cs="Arial"/>
          <w:sz w:val="24"/>
        </w:rPr>
      </w:pPr>
    </w:p>
    <w:p w:rsidR="002068E7" w:rsidRDefault="002068E7" w:rsidP="002068E7">
      <w:pPr>
        <w:pStyle w:val="ListParagraph"/>
        <w:numPr>
          <w:ilvl w:val="0"/>
          <w:numId w:val="26"/>
        </w:numPr>
        <w:ind w:left="426"/>
        <w:rPr>
          <w:rFonts w:ascii="Arial" w:hAnsi="Arial" w:cs="Arial"/>
          <w:sz w:val="24"/>
        </w:rPr>
      </w:pPr>
      <w:r w:rsidRPr="0048076C">
        <w:rPr>
          <w:rFonts w:ascii="Arial" w:hAnsi="Arial" w:cs="Arial"/>
          <w:sz w:val="24"/>
        </w:rPr>
        <w:t xml:space="preserve">There are three other key measures of educational </w:t>
      </w:r>
      <w:r>
        <w:rPr>
          <w:rFonts w:ascii="Arial" w:hAnsi="Arial" w:cs="Arial"/>
          <w:sz w:val="24"/>
        </w:rPr>
        <w:t>absence</w:t>
      </w:r>
      <w:r w:rsidRPr="0048076C">
        <w:rPr>
          <w:rFonts w:ascii="Arial" w:hAnsi="Arial" w:cs="Arial"/>
          <w:sz w:val="24"/>
        </w:rPr>
        <w:t xml:space="preserve"> where national comparator data is hard to come by</w:t>
      </w:r>
      <w:r>
        <w:rPr>
          <w:rFonts w:ascii="Arial" w:hAnsi="Arial" w:cs="Arial"/>
          <w:sz w:val="24"/>
        </w:rPr>
        <w:t>:</w:t>
      </w:r>
    </w:p>
    <w:p w:rsidR="004D16DC" w:rsidRDefault="004D16DC" w:rsidP="004D16DC">
      <w:pPr>
        <w:pStyle w:val="ListParagraph"/>
        <w:ind w:left="426"/>
        <w:rPr>
          <w:rFonts w:ascii="Arial" w:hAnsi="Arial" w:cs="Arial"/>
          <w:sz w:val="24"/>
        </w:rPr>
      </w:pPr>
    </w:p>
    <w:p w:rsidR="004D16DC" w:rsidRDefault="004D16DC" w:rsidP="004D16DC">
      <w:pPr>
        <w:pStyle w:val="ListParagraph"/>
        <w:numPr>
          <w:ilvl w:val="0"/>
          <w:numId w:val="25"/>
        </w:numPr>
        <w:rPr>
          <w:rFonts w:ascii="Arial" w:hAnsi="Arial" w:cs="Arial"/>
          <w:sz w:val="24"/>
        </w:rPr>
      </w:pPr>
      <w:r>
        <w:rPr>
          <w:rFonts w:ascii="Arial" w:hAnsi="Arial" w:cs="Arial"/>
          <w:sz w:val="24"/>
        </w:rPr>
        <w:t>Requests for Elective Home Education</w:t>
      </w:r>
    </w:p>
    <w:p w:rsidR="004D16DC" w:rsidRDefault="004D16DC" w:rsidP="004D16DC">
      <w:pPr>
        <w:pStyle w:val="ListParagraph"/>
        <w:numPr>
          <w:ilvl w:val="0"/>
          <w:numId w:val="25"/>
        </w:numPr>
        <w:rPr>
          <w:rFonts w:ascii="Arial" w:hAnsi="Arial" w:cs="Arial"/>
          <w:sz w:val="24"/>
        </w:rPr>
      </w:pPr>
      <w:r>
        <w:rPr>
          <w:rFonts w:ascii="Arial" w:hAnsi="Arial" w:cs="Arial"/>
          <w:sz w:val="24"/>
        </w:rPr>
        <w:t>Reduced Timetables</w:t>
      </w:r>
      <w:r w:rsidRPr="003E5F30">
        <w:rPr>
          <w:rFonts w:ascii="Arial" w:hAnsi="Arial" w:cs="Arial"/>
          <w:sz w:val="24"/>
        </w:rPr>
        <w:t xml:space="preserve"> </w:t>
      </w:r>
    </w:p>
    <w:p w:rsidR="004D16DC" w:rsidRDefault="004D16DC" w:rsidP="004D16DC">
      <w:pPr>
        <w:pStyle w:val="ListParagraph"/>
        <w:numPr>
          <w:ilvl w:val="0"/>
          <w:numId w:val="25"/>
        </w:numPr>
        <w:rPr>
          <w:rFonts w:ascii="Arial" w:hAnsi="Arial" w:cs="Arial"/>
          <w:sz w:val="24"/>
        </w:rPr>
      </w:pPr>
      <w:r>
        <w:rPr>
          <w:rFonts w:ascii="Arial" w:hAnsi="Arial" w:cs="Arial"/>
          <w:sz w:val="24"/>
        </w:rPr>
        <w:t>Demand for Alternative Provision</w:t>
      </w:r>
    </w:p>
    <w:p w:rsidR="004D16DC" w:rsidRDefault="004D16DC" w:rsidP="004D16DC">
      <w:pPr>
        <w:pStyle w:val="ListParagraph"/>
        <w:ind w:left="426"/>
        <w:rPr>
          <w:rFonts w:ascii="Arial" w:hAnsi="Arial" w:cs="Arial"/>
          <w:sz w:val="24"/>
        </w:rPr>
      </w:pPr>
    </w:p>
    <w:p w:rsidR="004D16DC" w:rsidRDefault="004D16DC" w:rsidP="002068E7">
      <w:pPr>
        <w:pStyle w:val="ListParagraph"/>
        <w:numPr>
          <w:ilvl w:val="0"/>
          <w:numId w:val="26"/>
        </w:numPr>
        <w:ind w:left="426"/>
        <w:rPr>
          <w:rFonts w:ascii="Arial" w:hAnsi="Arial" w:cs="Arial"/>
          <w:sz w:val="24"/>
        </w:rPr>
      </w:pPr>
      <w:r>
        <w:rPr>
          <w:rFonts w:ascii="Arial" w:hAnsi="Arial" w:cs="Arial"/>
          <w:sz w:val="24"/>
        </w:rPr>
        <w:t xml:space="preserve">Local data on reduced timetables is provided below.  The figures indicate that RTTs have increased but this also reflects a greater level of tracking and monitoring by the Local Authority as our processes to do this have developed over time. </w:t>
      </w:r>
    </w:p>
    <w:p w:rsidR="002068E7" w:rsidRDefault="002068E7" w:rsidP="002068E7">
      <w:pPr>
        <w:pStyle w:val="ListParagraph"/>
        <w:ind w:left="426"/>
        <w:rPr>
          <w:rFonts w:ascii="Arial" w:hAnsi="Arial" w:cs="Arial"/>
          <w:sz w:val="24"/>
        </w:rPr>
      </w:pPr>
    </w:p>
    <w:p w:rsidR="004D16DC" w:rsidRPr="004D16DC" w:rsidRDefault="004D16DC" w:rsidP="002068E7">
      <w:pPr>
        <w:pStyle w:val="ListParagraph"/>
        <w:ind w:left="426"/>
        <w:rPr>
          <w:rFonts w:ascii="Arial" w:hAnsi="Arial" w:cs="Arial"/>
          <w:b/>
          <w:sz w:val="24"/>
        </w:rPr>
      </w:pPr>
      <w:r w:rsidRPr="004D16DC">
        <w:rPr>
          <w:rFonts w:ascii="Arial" w:hAnsi="Arial" w:cs="Arial"/>
          <w:b/>
          <w:sz w:val="24"/>
        </w:rPr>
        <w:t xml:space="preserve">Reduced Timetables: Portsmouth </w:t>
      </w:r>
    </w:p>
    <w:p w:rsidR="004D16DC" w:rsidRDefault="004D16DC" w:rsidP="002068E7">
      <w:pPr>
        <w:pStyle w:val="ListParagraph"/>
        <w:ind w:left="426"/>
        <w:rPr>
          <w:rFonts w:ascii="Arial" w:hAnsi="Arial" w:cs="Arial"/>
          <w:sz w:val="24"/>
        </w:rPr>
      </w:pPr>
    </w:p>
    <w:tbl>
      <w:tblPr>
        <w:tblW w:w="0" w:type="auto"/>
        <w:tblInd w:w="416" w:type="dxa"/>
        <w:tblCellMar>
          <w:left w:w="0" w:type="dxa"/>
          <w:right w:w="0" w:type="dxa"/>
        </w:tblCellMar>
        <w:tblLook w:val="04A0" w:firstRow="1" w:lastRow="0" w:firstColumn="1" w:lastColumn="0" w:noHBand="0" w:noVBand="1"/>
      </w:tblPr>
      <w:tblGrid>
        <w:gridCol w:w="2162"/>
        <w:gridCol w:w="1607"/>
        <w:gridCol w:w="1607"/>
        <w:gridCol w:w="1607"/>
        <w:gridCol w:w="1607"/>
      </w:tblGrid>
      <w:tr w:rsidR="004D16DC" w:rsidTr="004D16D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16DC" w:rsidRPr="004D16DC" w:rsidRDefault="004D16DC">
            <w:pPr>
              <w:rPr>
                <w:rFonts w:ascii="Arial" w:hAnsi="Arial" w:cs="Arial"/>
              </w:rPr>
            </w:pP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16DC" w:rsidRPr="004D16DC" w:rsidRDefault="004D16DC">
            <w:pPr>
              <w:rPr>
                <w:rFonts w:ascii="Arial" w:hAnsi="Arial" w:cs="Arial"/>
              </w:rPr>
            </w:pPr>
            <w:r w:rsidRPr="004D16DC">
              <w:rPr>
                <w:rFonts w:ascii="Arial" w:hAnsi="Arial" w:cs="Arial"/>
              </w:rPr>
              <w:t>Autumn Term 17/18</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16DC" w:rsidRPr="004D16DC" w:rsidRDefault="004D16DC">
            <w:pPr>
              <w:rPr>
                <w:rFonts w:ascii="Arial" w:hAnsi="Arial" w:cs="Arial"/>
              </w:rPr>
            </w:pPr>
            <w:r w:rsidRPr="004D16DC">
              <w:rPr>
                <w:rFonts w:ascii="Arial" w:hAnsi="Arial" w:cs="Arial"/>
              </w:rPr>
              <w:t>Autumn Term 18/19</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16DC" w:rsidRPr="004D16DC" w:rsidRDefault="004D16DC">
            <w:pPr>
              <w:rPr>
                <w:rFonts w:ascii="Arial" w:hAnsi="Arial" w:cs="Arial"/>
              </w:rPr>
            </w:pPr>
            <w:r w:rsidRPr="004D16DC">
              <w:rPr>
                <w:rFonts w:ascii="Arial" w:hAnsi="Arial" w:cs="Arial"/>
              </w:rPr>
              <w:t>Autumn Term 19/20</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16DC" w:rsidRPr="004D16DC" w:rsidRDefault="004D16DC">
            <w:pPr>
              <w:rPr>
                <w:rFonts w:ascii="Arial" w:hAnsi="Arial" w:cs="Arial"/>
              </w:rPr>
            </w:pPr>
            <w:r w:rsidRPr="004D16DC">
              <w:rPr>
                <w:rFonts w:ascii="Arial" w:hAnsi="Arial" w:cs="Arial"/>
              </w:rPr>
              <w:t>Autumn Term 20/21</w:t>
            </w:r>
          </w:p>
        </w:tc>
      </w:tr>
      <w:tr w:rsidR="004D16DC" w:rsidTr="004D16DC">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6DC" w:rsidRPr="004D16DC" w:rsidRDefault="004D16DC">
            <w:pPr>
              <w:rPr>
                <w:rFonts w:ascii="Arial" w:hAnsi="Arial" w:cs="Arial"/>
              </w:rPr>
            </w:pPr>
            <w:r w:rsidRPr="004D16DC">
              <w:rPr>
                <w:rFonts w:ascii="Arial" w:hAnsi="Arial" w:cs="Arial"/>
              </w:rPr>
              <w:t>Number of pupils  commencing an RTT with the timeframe</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D16DC" w:rsidRPr="004D16DC" w:rsidRDefault="004D16DC">
            <w:pPr>
              <w:rPr>
                <w:rFonts w:ascii="Arial" w:hAnsi="Arial" w:cs="Arial"/>
              </w:rPr>
            </w:pPr>
            <w:r w:rsidRPr="004D16DC">
              <w:rPr>
                <w:rFonts w:ascii="Arial" w:hAnsi="Arial" w:cs="Arial"/>
              </w:rPr>
              <w:t>55</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D16DC" w:rsidRPr="004D16DC" w:rsidRDefault="004D16DC">
            <w:pPr>
              <w:rPr>
                <w:rFonts w:ascii="Arial" w:hAnsi="Arial" w:cs="Arial"/>
              </w:rPr>
            </w:pPr>
            <w:r w:rsidRPr="004D16DC">
              <w:rPr>
                <w:rFonts w:ascii="Arial" w:hAnsi="Arial" w:cs="Arial"/>
              </w:rPr>
              <w:t>60</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D16DC" w:rsidRPr="004D16DC" w:rsidRDefault="004D16DC">
            <w:pPr>
              <w:rPr>
                <w:rFonts w:ascii="Arial" w:hAnsi="Arial" w:cs="Arial"/>
              </w:rPr>
            </w:pPr>
            <w:r w:rsidRPr="004D16DC">
              <w:rPr>
                <w:rFonts w:ascii="Arial" w:hAnsi="Arial" w:cs="Arial"/>
              </w:rPr>
              <w:t>100</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D16DC" w:rsidRPr="004D16DC" w:rsidRDefault="004D16DC">
            <w:pPr>
              <w:rPr>
                <w:rFonts w:ascii="Arial" w:hAnsi="Arial" w:cs="Arial"/>
              </w:rPr>
            </w:pPr>
            <w:r w:rsidRPr="004D16DC">
              <w:rPr>
                <w:rFonts w:ascii="Arial" w:hAnsi="Arial" w:cs="Arial"/>
              </w:rPr>
              <w:t>125</w:t>
            </w:r>
          </w:p>
        </w:tc>
      </w:tr>
    </w:tbl>
    <w:p w:rsidR="004D16DC" w:rsidRDefault="004D16DC" w:rsidP="002068E7">
      <w:pPr>
        <w:pStyle w:val="ListParagraph"/>
        <w:ind w:left="426"/>
        <w:rPr>
          <w:rFonts w:ascii="Arial" w:hAnsi="Arial" w:cs="Arial"/>
          <w:sz w:val="24"/>
        </w:rPr>
      </w:pPr>
    </w:p>
    <w:p w:rsidR="004D16DC" w:rsidRDefault="004D16DC" w:rsidP="00403AD4">
      <w:pPr>
        <w:rPr>
          <w:rFonts w:ascii="Arial" w:hAnsi="Arial" w:cs="Arial"/>
          <w:b/>
          <w:sz w:val="28"/>
          <w:szCs w:val="28"/>
        </w:rPr>
      </w:pPr>
    </w:p>
    <w:p w:rsidR="003E5F30" w:rsidRPr="00935854" w:rsidRDefault="00935854" w:rsidP="00403AD4">
      <w:pPr>
        <w:rPr>
          <w:rFonts w:ascii="Arial" w:hAnsi="Arial" w:cs="Arial"/>
          <w:b/>
          <w:sz w:val="28"/>
          <w:szCs w:val="28"/>
        </w:rPr>
      </w:pPr>
      <w:r>
        <w:rPr>
          <w:rFonts w:ascii="Arial" w:hAnsi="Arial" w:cs="Arial"/>
          <w:b/>
          <w:sz w:val="28"/>
          <w:szCs w:val="28"/>
        </w:rPr>
        <w:t>Deprivation context</w:t>
      </w:r>
    </w:p>
    <w:p w:rsidR="00DB58A6" w:rsidRDefault="00DB58A6" w:rsidP="00403AD4">
      <w:pPr>
        <w:rPr>
          <w:rFonts w:ascii="Arial" w:hAnsi="Arial" w:cs="Arial"/>
          <w:sz w:val="24"/>
        </w:rPr>
      </w:pPr>
    </w:p>
    <w:p w:rsidR="003E5F30" w:rsidRDefault="003E5F30" w:rsidP="00D411BF">
      <w:pPr>
        <w:pStyle w:val="ListParagraph"/>
        <w:numPr>
          <w:ilvl w:val="0"/>
          <w:numId w:val="26"/>
        </w:numPr>
        <w:ind w:left="426" w:hanging="426"/>
        <w:rPr>
          <w:rFonts w:ascii="Arial" w:hAnsi="Arial" w:cs="Arial"/>
          <w:sz w:val="24"/>
        </w:rPr>
      </w:pPr>
      <w:r w:rsidRPr="0048076C">
        <w:rPr>
          <w:rFonts w:ascii="Arial" w:hAnsi="Arial" w:cs="Arial"/>
          <w:sz w:val="24"/>
        </w:rPr>
        <w:t xml:space="preserve">Portsmouth is not a wealthy city and there is a correlation between deprivation and poor childhood outcomes.  So to add a little context, the city is ranked </w:t>
      </w:r>
      <w:r w:rsidR="00FD72AB" w:rsidRPr="0048076C">
        <w:rPr>
          <w:rFonts w:ascii="Arial" w:hAnsi="Arial" w:cs="Arial"/>
          <w:sz w:val="24"/>
        </w:rPr>
        <w:t>a</w:t>
      </w:r>
      <w:r w:rsidRPr="0048076C">
        <w:rPr>
          <w:rFonts w:ascii="Arial" w:hAnsi="Arial" w:cs="Arial"/>
          <w:sz w:val="24"/>
        </w:rPr>
        <w:t>s follows for key deprivation indicators:</w:t>
      </w:r>
    </w:p>
    <w:p w:rsidR="00DB58A6" w:rsidRPr="0048076C" w:rsidRDefault="00DB58A6" w:rsidP="0048076C">
      <w:pPr>
        <w:pStyle w:val="ListParagraph"/>
        <w:rPr>
          <w:rFonts w:ascii="Arial" w:hAnsi="Arial" w:cs="Arial"/>
          <w:sz w:val="24"/>
        </w:rPr>
      </w:pPr>
    </w:p>
    <w:p w:rsidR="003E5F30" w:rsidRPr="00935854" w:rsidRDefault="003E5F30" w:rsidP="00935854">
      <w:pPr>
        <w:pStyle w:val="ListParagraph"/>
        <w:numPr>
          <w:ilvl w:val="0"/>
          <w:numId w:val="32"/>
        </w:numPr>
        <w:rPr>
          <w:rFonts w:ascii="Arial" w:hAnsi="Arial" w:cs="Arial"/>
          <w:sz w:val="24"/>
        </w:rPr>
      </w:pPr>
      <w:r w:rsidRPr="00935854">
        <w:rPr>
          <w:rFonts w:ascii="Arial" w:hAnsi="Arial" w:cs="Arial"/>
          <w:sz w:val="24"/>
        </w:rPr>
        <w:t>97</w:t>
      </w:r>
      <w:r w:rsidRPr="00935854">
        <w:rPr>
          <w:rFonts w:ascii="Arial" w:hAnsi="Arial" w:cs="Arial"/>
          <w:sz w:val="24"/>
          <w:vertAlign w:val="superscript"/>
        </w:rPr>
        <w:t>th</w:t>
      </w:r>
      <w:r w:rsidRPr="00935854">
        <w:rPr>
          <w:rFonts w:ascii="Arial" w:hAnsi="Arial" w:cs="Arial"/>
          <w:sz w:val="24"/>
        </w:rPr>
        <w:t xml:space="preserve"> of 152 in terms of % children in low income families (where 1st is low )</w:t>
      </w:r>
    </w:p>
    <w:p w:rsidR="003E5F30" w:rsidRPr="00935854" w:rsidRDefault="003E5F30" w:rsidP="00935854">
      <w:pPr>
        <w:pStyle w:val="ListParagraph"/>
        <w:numPr>
          <w:ilvl w:val="0"/>
          <w:numId w:val="32"/>
        </w:numPr>
        <w:rPr>
          <w:rFonts w:ascii="Arial" w:hAnsi="Arial" w:cs="Arial"/>
          <w:sz w:val="24"/>
        </w:rPr>
      </w:pPr>
      <w:r w:rsidRPr="00935854">
        <w:rPr>
          <w:rFonts w:ascii="Arial" w:hAnsi="Arial" w:cs="Arial"/>
          <w:sz w:val="24"/>
        </w:rPr>
        <w:t>127</w:t>
      </w:r>
      <w:r w:rsidRPr="00935854">
        <w:rPr>
          <w:rFonts w:ascii="Arial" w:hAnsi="Arial" w:cs="Arial"/>
          <w:sz w:val="24"/>
          <w:vertAlign w:val="superscript"/>
        </w:rPr>
        <w:t>th</w:t>
      </w:r>
      <w:r w:rsidRPr="00935854">
        <w:rPr>
          <w:rFonts w:ascii="Arial" w:hAnsi="Arial" w:cs="Arial"/>
          <w:sz w:val="24"/>
        </w:rPr>
        <w:t xml:space="preserve"> of 152 for % of primary children eligible for Free School Meals</w:t>
      </w:r>
    </w:p>
    <w:p w:rsidR="003E5F30" w:rsidRPr="00935854" w:rsidRDefault="003E5F30" w:rsidP="00935854">
      <w:pPr>
        <w:pStyle w:val="ListParagraph"/>
        <w:numPr>
          <w:ilvl w:val="0"/>
          <w:numId w:val="32"/>
        </w:numPr>
        <w:rPr>
          <w:rFonts w:ascii="Arial" w:hAnsi="Arial" w:cs="Arial"/>
          <w:sz w:val="24"/>
        </w:rPr>
      </w:pPr>
      <w:r w:rsidRPr="00935854">
        <w:rPr>
          <w:rFonts w:ascii="Arial" w:hAnsi="Arial" w:cs="Arial"/>
          <w:sz w:val="24"/>
        </w:rPr>
        <w:t>119</w:t>
      </w:r>
      <w:r w:rsidRPr="00935854">
        <w:rPr>
          <w:rFonts w:ascii="Arial" w:hAnsi="Arial" w:cs="Arial"/>
          <w:sz w:val="24"/>
          <w:vertAlign w:val="superscript"/>
        </w:rPr>
        <w:t>th</w:t>
      </w:r>
      <w:r w:rsidRPr="00935854">
        <w:rPr>
          <w:rFonts w:ascii="Arial" w:hAnsi="Arial" w:cs="Arial"/>
          <w:sz w:val="24"/>
        </w:rPr>
        <w:t xml:space="preserve"> of 152 for % of secondary children eligible for Free School Meals</w:t>
      </w:r>
    </w:p>
    <w:p w:rsidR="00CF2FFD" w:rsidRDefault="00CF2FFD" w:rsidP="0048076C">
      <w:pPr>
        <w:ind w:left="290"/>
        <w:rPr>
          <w:rFonts w:ascii="Arial" w:hAnsi="Arial" w:cs="Arial"/>
          <w:sz w:val="24"/>
        </w:rPr>
      </w:pPr>
    </w:p>
    <w:p w:rsidR="003E72FC" w:rsidRPr="0048076C" w:rsidRDefault="003E72FC">
      <w:pPr>
        <w:rPr>
          <w:rFonts w:ascii="Arial" w:hAnsi="Arial" w:cs="Arial"/>
          <w:sz w:val="24"/>
        </w:rPr>
      </w:pPr>
    </w:p>
    <w:p w:rsidR="00542FB0" w:rsidRPr="0048076C" w:rsidRDefault="001E7BF8" w:rsidP="0048076C">
      <w:pPr>
        <w:rPr>
          <w:rFonts w:ascii="Arial" w:hAnsi="Arial" w:cs="Arial"/>
          <w:b/>
          <w:color w:val="2E74B5" w:themeColor="accent1" w:themeShade="BF"/>
          <w:sz w:val="28"/>
          <w:szCs w:val="28"/>
        </w:rPr>
      </w:pPr>
      <w:r w:rsidRPr="0048076C">
        <w:rPr>
          <w:rFonts w:ascii="Arial" w:hAnsi="Arial" w:cs="Arial"/>
          <w:b/>
          <w:color w:val="2E74B5" w:themeColor="accent1" w:themeShade="BF"/>
          <w:sz w:val="28"/>
          <w:szCs w:val="28"/>
        </w:rPr>
        <w:t xml:space="preserve">WORK IN THE CITY TO </w:t>
      </w:r>
      <w:r w:rsidR="00CF2FFD" w:rsidRPr="0048076C">
        <w:rPr>
          <w:rFonts w:ascii="Arial" w:hAnsi="Arial" w:cs="Arial"/>
          <w:b/>
          <w:color w:val="2E74B5" w:themeColor="accent1" w:themeShade="BF"/>
          <w:sz w:val="28"/>
          <w:szCs w:val="28"/>
        </w:rPr>
        <w:t xml:space="preserve">DATE TO </w:t>
      </w:r>
      <w:r w:rsidR="00FD72AB" w:rsidRPr="0048076C">
        <w:rPr>
          <w:rFonts w:ascii="Arial" w:hAnsi="Arial" w:cs="Arial"/>
          <w:b/>
          <w:color w:val="2E74B5" w:themeColor="accent1" w:themeShade="BF"/>
          <w:sz w:val="28"/>
          <w:szCs w:val="28"/>
        </w:rPr>
        <w:t xml:space="preserve">INCREASE ATTENDANCE AND REDUCE EXCLUSIONS  </w:t>
      </w:r>
    </w:p>
    <w:p w:rsidR="00542FB0" w:rsidRDefault="00542FB0" w:rsidP="00403AD4">
      <w:pPr>
        <w:rPr>
          <w:rFonts w:ascii="Arial" w:hAnsi="Arial" w:cs="Arial"/>
          <w:sz w:val="24"/>
        </w:rPr>
      </w:pPr>
    </w:p>
    <w:p w:rsidR="003E5F30" w:rsidRPr="0048076C" w:rsidRDefault="003E5F30" w:rsidP="00D411BF">
      <w:pPr>
        <w:pStyle w:val="ListParagraph"/>
        <w:numPr>
          <w:ilvl w:val="0"/>
          <w:numId w:val="26"/>
        </w:numPr>
        <w:ind w:left="426"/>
        <w:rPr>
          <w:rFonts w:ascii="Arial" w:hAnsi="Arial" w:cs="Arial"/>
          <w:sz w:val="24"/>
        </w:rPr>
      </w:pPr>
      <w:r w:rsidRPr="0048076C">
        <w:rPr>
          <w:rFonts w:ascii="Arial" w:hAnsi="Arial" w:cs="Arial"/>
          <w:sz w:val="24"/>
        </w:rPr>
        <w:t>Over the past few years</w:t>
      </w:r>
      <w:r w:rsidR="00EB1929" w:rsidRPr="0048076C">
        <w:rPr>
          <w:rFonts w:ascii="Arial" w:hAnsi="Arial" w:cs="Arial"/>
          <w:sz w:val="24"/>
        </w:rPr>
        <w:t xml:space="preserve"> there have been </w:t>
      </w:r>
      <w:r w:rsidRPr="0048076C">
        <w:rPr>
          <w:rFonts w:ascii="Arial" w:hAnsi="Arial" w:cs="Arial"/>
          <w:sz w:val="24"/>
        </w:rPr>
        <w:t xml:space="preserve">a number of pieces of work </w:t>
      </w:r>
      <w:r w:rsidR="00EB1929" w:rsidRPr="0048076C">
        <w:rPr>
          <w:rFonts w:ascii="Arial" w:hAnsi="Arial" w:cs="Arial"/>
          <w:sz w:val="24"/>
        </w:rPr>
        <w:t>aimed at</w:t>
      </w:r>
      <w:r w:rsidR="00FA52FE" w:rsidRPr="0048076C">
        <w:rPr>
          <w:rFonts w:ascii="Arial" w:hAnsi="Arial" w:cs="Arial"/>
          <w:sz w:val="24"/>
        </w:rPr>
        <w:t>, among other things</w:t>
      </w:r>
      <w:r w:rsidR="00CF2FFD" w:rsidRPr="0048076C">
        <w:rPr>
          <w:rFonts w:ascii="Arial" w:hAnsi="Arial" w:cs="Arial"/>
          <w:sz w:val="24"/>
        </w:rPr>
        <w:t xml:space="preserve">, </w:t>
      </w:r>
      <w:r w:rsidR="00FA52FE" w:rsidRPr="0048076C">
        <w:rPr>
          <w:rFonts w:ascii="Arial" w:hAnsi="Arial" w:cs="Arial"/>
          <w:sz w:val="24"/>
        </w:rPr>
        <w:t xml:space="preserve">increasing attendance and reducing exclusions. </w:t>
      </w:r>
    </w:p>
    <w:p w:rsidR="003E5F30" w:rsidRDefault="003E5F30" w:rsidP="003E5F30">
      <w:pPr>
        <w:rPr>
          <w:rFonts w:ascii="Arial" w:hAnsi="Arial" w:cs="Arial"/>
          <w:sz w:val="24"/>
        </w:rPr>
      </w:pPr>
    </w:p>
    <w:p w:rsidR="004A0CB8" w:rsidRDefault="004A0CB8" w:rsidP="003E72FC">
      <w:pPr>
        <w:pStyle w:val="ListParagraph"/>
        <w:numPr>
          <w:ilvl w:val="0"/>
          <w:numId w:val="30"/>
        </w:numPr>
        <w:rPr>
          <w:rFonts w:ascii="Arial" w:hAnsi="Arial" w:cs="Arial"/>
          <w:sz w:val="24"/>
        </w:rPr>
      </w:pPr>
      <w:r w:rsidRPr="004A0CB8">
        <w:rPr>
          <w:rFonts w:ascii="Arial" w:hAnsi="Arial" w:cs="Arial"/>
          <w:b/>
          <w:sz w:val="24"/>
        </w:rPr>
        <w:t>School attendance campaign</w:t>
      </w:r>
      <w:r>
        <w:rPr>
          <w:rFonts w:ascii="Arial" w:hAnsi="Arial" w:cs="Arial"/>
          <w:sz w:val="24"/>
        </w:rPr>
        <w:t xml:space="preserve"> 'miss school miss out' and the subsequent welcome back to school campaign and associated resources for schools</w:t>
      </w:r>
    </w:p>
    <w:p w:rsidR="004A0CB8" w:rsidRDefault="004A0CB8" w:rsidP="004A0CB8">
      <w:pPr>
        <w:pStyle w:val="ListParagraph"/>
        <w:rPr>
          <w:rFonts w:ascii="Arial" w:hAnsi="Arial" w:cs="Arial"/>
          <w:sz w:val="24"/>
        </w:rPr>
      </w:pPr>
    </w:p>
    <w:p w:rsidR="004A0CB8" w:rsidRDefault="004A0CB8" w:rsidP="003E72FC">
      <w:pPr>
        <w:pStyle w:val="ListParagraph"/>
        <w:numPr>
          <w:ilvl w:val="0"/>
          <w:numId w:val="30"/>
        </w:numPr>
        <w:rPr>
          <w:rFonts w:ascii="Arial" w:hAnsi="Arial" w:cs="Arial"/>
          <w:sz w:val="24"/>
        </w:rPr>
      </w:pPr>
      <w:r>
        <w:rPr>
          <w:rFonts w:ascii="Arial" w:hAnsi="Arial" w:cs="Arial"/>
          <w:b/>
          <w:sz w:val="24"/>
        </w:rPr>
        <w:t xml:space="preserve">Work of the Behaviour and Attendance Group (BAG) </w:t>
      </w:r>
      <w:r w:rsidRPr="004A0CB8">
        <w:rPr>
          <w:rFonts w:ascii="Arial" w:hAnsi="Arial" w:cs="Arial"/>
          <w:sz w:val="24"/>
        </w:rPr>
        <w:t xml:space="preserve">- tracking and monitoring of school attendance and exclusions </w:t>
      </w:r>
    </w:p>
    <w:p w:rsidR="004A0CB8" w:rsidRPr="004A0CB8" w:rsidRDefault="004A0CB8" w:rsidP="004A0CB8">
      <w:pPr>
        <w:pStyle w:val="ListParagraph"/>
        <w:rPr>
          <w:rFonts w:ascii="Arial" w:hAnsi="Arial" w:cs="Arial"/>
          <w:sz w:val="24"/>
        </w:rPr>
      </w:pPr>
    </w:p>
    <w:p w:rsidR="004A0CB8" w:rsidRPr="004A0CB8" w:rsidRDefault="004A0CB8" w:rsidP="003E72FC">
      <w:pPr>
        <w:pStyle w:val="ListParagraph"/>
        <w:numPr>
          <w:ilvl w:val="0"/>
          <w:numId w:val="30"/>
        </w:numPr>
        <w:rPr>
          <w:rFonts w:ascii="Arial" w:hAnsi="Arial" w:cs="Arial"/>
          <w:b/>
          <w:sz w:val="24"/>
        </w:rPr>
      </w:pPr>
      <w:r w:rsidRPr="004A0CB8">
        <w:rPr>
          <w:rFonts w:ascii="Arial" w:hAnsi="Arial" w:cs="Arial"/>
          <w:b/>
          <w:sz w:val="24"/>
        </w:rPr>
        <w:t xml:space="preserve">Implementation of the SEND Strategy </w:t>
      </w:r>
    </w:p>
    <w:p w:rsidR="004A0CB8" w:rsidRPr="004A0CB8" w:rsidRDefault="004A0CB8" w:rsidP="004A0CB8">
      <w:pPr>
        <w:pStyle w:val="ListParagraph"/>
        <w:rPr>
          <w:rFonts w:ascii="Arial" w:hAnsi="Arial" w:cs="Arial"/>
          <w:sz w:val="24"/>
        </w:rPr>
      </w:pPr>
    </w:p>
    <w:p w:rsidR="003E5F30" w:rsidRDefault="003E5F30" w:rsidP="003E72FC">
      <w:pPr>
        <w:pStyle w:val="ListParagraph"/>
        <w:numPr>
          <w:ilvl w:val="0"/>
          <w:numId w:val="30"/>
        </w:numPr>
        <w:rPr>
          <w:rFonts w:ascii="Arial" w:hAnsi="Arial" w:cs="Arial"/>
          <w:sz w:val="24"/>
        </w:rPr>
      </w:pPr>
      <w:r w:rsidRPr="00C911CF">
        <w:rPr>
          <w:rFonts w:ascii="Arial" w:hAnsi="Arial" w:cs="Arial"/>
          <w:b/>
          <w:sz w:val="24"/>
        </w:rPr>
        <w:t>SEMH Vision</w:t>
      </w:r>
      <w:r>
        <w:rPr>
          <w:rFonts w:ascii="Arial" w:hAnsi="Arial" w:cs="Arial"/>
          <w:b/>
          <w:sz w:val="24"/>
        </w:rPr>
        <w:t xml:space="preserve"> </w:t>
      </w:r>
      <w:r w:rsidRPr="003E10B4">
        <w:rPr>
          <w:rFonts w:ascii="Arial" w:hAnsi="Arial" w:cs="Arial"/>
          <w:sz w:val="24"/>
        </w:rPr>
        <w:t xml:space="preserve">- </w:t>
      </w:r>
      <w:r>
        <w:rPr>
          <w:rFonts w:ascii="Arial" w:hAnsi="Arial" w:cs="Arial"/>
          <w:b/>
          <w:sz w:val="24"/>
        </w:rPr>
        <w:t>i</w:t>
      </w:r>
      <w:r>
        <w:rPr>
          <w:rFonts w:ascii="Arial" w:hAnsi="Arial" w:cs="Arial"/>
          <w:sz w:val="24"/>
        </w:rPr>
        <w:t>n 2018 we agreed a Vision for SEMH Inclusion - see Appendix 1</w:t>
      </w:r>
    </w:p>
    <w:p w:rsidR="003E5F30" w:rsidRPr="00320081" w:rsidRDefault="003E5F30" w:rsidP="003E5F30">
      <w:pPr>
        <w:pStyle w:val="ListParagraph"/>
        <w:rPr>
          <w:rFonts w:ascii="Arial" w:hAnsi="Arial" w:cs="Arial"/>
          <w:sz w:val="24"/>
        </w:rPr>
      </w:pPr>
    </w:p>
    <w:p w:rsidR="003E5F30" w:rsidRDefault="003E5F30" w:rsidP="003E72FC">
      <w:pPr>
        <w:pStyle w:val="ListParagraph"/>
        <w:numPr>
          <w:ilvl w:val="0"/>
          <w:numId w:val="30"/>
        </w:numPr>
        <w:rPr>
          <w:rFonts w:ascii="Arial" w:hAnsi="Arial" w:cs="Arial"/>
          <w:sz w:val="24"/>
        </w:rPr>
      </w:pPr>
      <w:r w:rsidRPr="00C911CF">
        <w:rPr>
          <w:rFonts w:ascii="Arial" w:hAnsi="Arial" w:cs="Arial"/>
          <w:b/>
          <w:sz w:val="24"/>
        </w:rPr>
        <w:t>SEMH Principles</w:t>
      </w:r>
      <w:r>
        <w:rPr>
          <w:rFonts w:ascii="Arial" w:hAnsi="Arial" w:cs="Arial"/>
          <w:sz w:val="24"/>
        </w:rPr>
        <w:t xml:space="preserve"> - in 2018 we agreed a set of Principles - See Appendix 2</w:t>
      </w:r>
    </w:p>
    <w:p w:rsidR="003E5F30" w:rsidRPr="00320081" w:rsidRDefault="003E5F30" w:rsidP="003E5F30">
      <w:pPr>
        <w:pStyle w:val="ListParagraph"/>
        <w:rPr>
          <w:rFonts w:ascii="Arial" w:hAnsi="Arial" w:cs="Arial"/>
          <w:sz w:val="24"/>
        </w:rPr>
      </w:pPr>
    </w:p>
    <w:p w:rsidR="003E5F30" w:rsidRDefault="003E5F30" w:rsidP="003E72FC">
      <w:pPr>
        <w:pStyle w:val="ListParagraph"/>
        <w:numPr>
          <w:ilvl w:val="0"/>
          <w:numId w:val="30"/>
        </w:numPr>
        <w:rPr>
          <w:rFonts w:ascii="Arial" w:hAnsi="Arial" w:cs="Arial"/>
          <w:sz w:val="24"/>
        </w:rPr>
      </w:pPr>
      <w:r w:rsidRPr="00C911CF">
        <w:rPr>
          <w:rFonts w:ascii="Arial" w:hAnsi="Arial" w:cs="Arial"/>
          <w:b/>
          <w:sz w:val="24"/>
        </w:rPr>
        <w:t>SEMH Framework</w:t>
      </w:r>
      <w:r>
        <w:rPr>
          <w:rFonts w:ascii="Arial" w:hAnsi="Arial" w:cs="Arial"/>
          <w:sz w:val="24"/>
        </w:rPr>
        <w:t xml:space="preserve"> - In 2018  we outlined a 4-Tier framework to structure our work around reducing demand for AP - including reducing exclusions - See Appendix 3</w:t>
      </w:r>
    </w:p>
    <w:p w:rsidR="003E5F30" w:rsidRPr="003E10B4" w:rsidRDefault="003E5F30" w:rsidP="003E5F30">
      <w:pPr>
        <w:pStyle w:val="ListParagraph"/>
        <w:rPr>
          <w:rFonts w:ascii="Arial" w:hAnsi="Arial" w:cs="Arial"/>
          <w:b/>
          <w:sz w:val="24"/>
        </w:rPr>
      </w:pPr>
    </w:p>
    <w:p w:rsidR="003E5F30" w:rsidRPr="003E10B4" w:rsidRDefault="003E5F30" w:rsidP="003E72FC">
      <w:pPr>
        <w:pStyle w:val="ListParagraph"/>
        <w:numPr>
          <w:ilvl w:val="0"/>
          <w:numId w:val="30"/>
        </w:numPr>
        <w:rPr>
          <w:rFonts w:ascii="Arial" w:hAnsi="Arial" w:cs="Arial"/>
          <w:sz w:val="24"/>
        </w:rPr>
      </w:pPr>
      <w:r w:rsidRPr="003E10B4">
        <w:rPr>
          <w:rFonts w:ascii="Arial" w:hAnsi="Arial" w:cs="Arial"/>
          <w:b/>
          <w:sz w:val="24"/>
        </w:rPr>
        <w:t>Emotional Wellbeing Strategy</w:t>
      </w:r>
      <w:r w:rsidRPr="003E10B4">
        <w:rPr>
          <w:rFonts w:ascii="Arial" w:hAnsi="Arial" w:cs="Arial"/>
          <w:sz w:val="24"/>
        </w:rPr>
        <w:t xml:space="preserve"> - in 2017 we rolled out the Strategy including a wide range of improvements to address a range of mental health issues impacting on children's inclusion and learning</w:t>
      </w:r>
    </w:p>
    <w:p w:rsidR="003E5F30" w:rsidRPr="00320081" w:rsidRDefault="003E5F30" w:rsidP="003E5F30">
      <w:pPr>
        <w:pStyle w:val="ListParagraph"/>
        <w:rPr>
          <w:rFonts w:ascii="Arial" w:hAnsi="Arial" w:cs="Arial"/>
          <w:sz w:val="24"/>
        </w:rPr>
      </w:pPr>
    </w:p>
    <w:p w:rsidR="003E5F30" w:rsidRPr="00C911CF" w:rsidRDefault="003E5F30" w:rsidP="003E72FC">
      <w:pPr>
        <w:pStyle w:val="ListParagraph"/>
        <w:numPr>
          <w:ilvl w:val="0"/>
          <w:numId w:val="30"/>
        </w:numPr>
        <w:rPr>
          <w:rFonts w:ascii="Arial" w:hAnsi="Arial" w:cs="Arial"/>
          <w:sz w:val="24"/>
        </w:rPr>
      </w:pPr>
      <w:r w:rsidRPr="00C911CF">
        <w:rPr>
          <w:rFonts w:ascii="Arial" w:hAnsi="Arial" w:cs="Arial"/>
          <w:b/>
          <w:sz w:val="24"/>
        </w:rPr>
        <w:t>PACE</w:t>
      </w:r>
      <w:r>
        <w:rPr>
          <w:rFonts w:ascii="Arial" w:hAnsi="Arial" w:cs="Arial"/>
          <w:sz w:val="24"/>
        </w:rPr>
        <w:t xml:space="preserve"> - in 2018 </w:t>
      </w:r>
      <w:r w:rsidR="0000477C">
        <w:rPr>
          <w:rFonts w:ascii="Arial" w:hAnsi="Arial" w:cs="Arial"/>
          <w:sz w:val="24"/>
        </w:rPr>
        <w:t>w</w:t>
      </w:r>
      <w:r>
        <w:rPr>
          <w:rFonts w:ascii="Arial" w:hAnsi="Arial" w:cs="Arial"/>
          <w:sz w:val="24"/>
        </w:rPr>
        <w:t>e launched the Turnaround Project and more importantly in terms of driving inclusion - the PACE Training - with over 160 school professional</w:t>
      </w:r>
      <w:r w:rsidR="0000477C">
        <w:rPr>
          <w:rFonts w:ascii="Arial" w:hAnsi="Arial" w:cs="Arial"/>
          <w:sz w:val="24"/>
        </w:rPr>
        <w:t>s</w:t>
      </w:r>
      <w:r>
        <w:rPr>
          <w:rFonts w:ascii="Arial" w:hAnsi="Arial" w:cs="Arial"/>
          <w:sz w:val="24"/>
        </w:rPr>
        <w:t xml:space="preserve"> trained in the PACE model</w:t>
      </w:r>
    </w:p>
    <w:p w:rsidR="003E5F30" w:rsidRPr="00320081" w:rsidRDefault="003E5F30" w:rsidP="003E5F30">
      <w:pPr>
        <w:pStyle w:val="ListParagraph"/>
        <w:rPr>
          <w:rFonts w:ascii="Arial" w:hAnsi="Arial" w:cs="Arial"/>
          <w:sz w:val="24"/>
        </w:rPr>
      </w:pPr>
    </w:p>
    <w:p w:rsidR="003E5F30" w:rsidRDefault="003E5F30" w:rsidP="003E72FC">
      <w:pPr>
        <w:pStyle w:val="ListParagraph"/>
        <w:numPr>
          <w:ilvl w:val="0"/>
          <w:numId w:val="30"/>
        </w:numPr>
        <w:rPr>
          <w:rFonts w:ascii="Arial" w:hAnsi="Arial" w:cs="Arial"/>
          <w:sz w:val="24"/>
        </w:rPr>
      </w:pPr>
      <w:r w:rsidRPr="00320081">
        <w:rPr>
          <w:rFonts w:ascii="Arial" w:hAnsi="Arial" w:cs="Arial"/>
          <w:b/>
          <w:sz w:val="24"/>
        </w:rPr>
        <w:t>Restorative Practice in Schools</w:t>
      </w:r>
      <w:r>
        <w:rPr>
          <w:rFonts w:ascii="Arial" w:hAnsi="Arial" w:cs="Arial"/>
          <w:sz w:val="24"/>
        </w:rPr>
        <w:t xml:space="preserve"> - since 2017, we have trained professionals across 30 schools in RP, set up the RP School Network and provided intensive whole school support to some schools in partnership with Portsmouth Mediation Service</w:t>
      </w:r>
      <w:r w:rsidR="008A68AD">
        <w:rPr>
          <w:rFonts w:ascii="Arial" w:hAnsi="Arial" w:cs="Arial"/>
          <w:sz w:val="24"/>
        </w:rPr>
        <w:t>.  Significant impact in some schools.</w:t>
      </w:r>
    </w:p>
    <w:p w:rsidR="003E5F30" w:rsidRPr="00320081" w:rsidRDefault="003E5F30" w:rsidP="003E5F30">
      <w:pPr>
        <w:pStyle w:val="ListParagraph"/>
        <w:rPr>
          <w:rFonts w:ascii="Arial" w:hAnsi="Arial" w:cs="Arial"/>
          <w:sz w:val="24"/>
        </w:rPr>
      </w:pPr>
    </w:p>
    <w:p w:rsidR="003E5F30" w:rsidRPr="00DC0C0B" w:rsidRDefault="003E5F30" w:rsidP="003E72FC">
      <w:pPr>
        <w:pStyle w:val="ListParagraph"/>
        <w:numPr>
          <w:ilvl w:val="0"/>
          <w:numId w:val="30"/>
        </w:numPr>
        <w:rPr>
          <w:rFonts w:ascii="Arial" w:hAnsi="Arial" w:cs="Arial"/>
          <w:sz w:val="24"/>
        </w:rPr>
      </w:pPr>
      <w:r w:rsidRPr="00DC0C0B">
        <w:rPr>
          <w:rFonts w:ascii="Arial" w:hAnsi="Arial" w:cs="Arial"/>
          <w:b/>
          <w:sz w:val="24"/>
        </w:rPr>
        <w:t>Attachment Aware Schools</w:t>
      </w:r>
      <w:r>
        <w:rPr>
          <w:rFonts w:ascii="Arial" w:hAnsi="Arial" w:cs="Arial"/>
          <w:sz w:val="24"/>
        </w:rPr>
        <w:t xml:space="preserve"> - up to 2019, 17 schools had received training from the Virtual School</w:t>
      </w:r>
    </w:p>
    <w:p w:rsidR="003E5F30" w:rsidRPr="00DC0C0B" w:rsidRDefault="003E5F30" w:rsidP="003E5F30">
      <w:pPr>
        <w:pStyle w:val="ListParagraph"/>
        <w:rPr>
          <w:rFonts w:ascii="Arial" w:hAnsi="Arial" w:cs="Arial"/>
          <w:b/>
          <w:sz w:val="24"/>
        </w:rPr>
      </w:pPr>
    </w:p>
    <w:p w:rsidR="003E5F30" w:rsidRPr="00DC0C0B" w:rsidRDefault="003E5F30" w:rsidP="003E72FC">
      <w:pPr>
        <w:pStyle w:val="ListParagraph"/>
        <w:numPr>
          <w:ilvl w:val="0"/>
          <w:numId w:val="30"/>
        </w:numPr>
        <w:rPr>
          <w:rFonts w:ascii="Arial" w:hAnsi="Arial" w:cs="Arial"/>
          <w:sz w:val="24"/>
        </w:rPr>
      </w:pPr>
      <w:r w:rsidRPr="00DC0C0B">
        <w:rPr>
          <w:rFonts w:ascii="Arial" w:hAnsi="Arial" w:cs="Arial"/>
          <w:b/>
          <w:sz w:val="24"/>
        </w:rPr>
        <w:t>N</w:t>
      </w:r>
      <w:r>
        <w:rPr>
          <w:rFonts w:ascii="Arial" w:hAnsi="Arial" w:cs="Arial"/>
          <w:b/>
          <w:sz w:val="24"/>
        </w:rPr>
        <w:t>ear-to-</w:t>
      </w:r>
      <w:r w:rsidRPr="00DC0C0B">
        <w:rPr>
          <w:rFonts w:ascii="Arial" w:hAnsi="Arial" w:cs="Arial"/>
          <w:b/>
          <w:sz w:val="24"/>
        </w:rPr>
        <w:t>School and Short Stay School</w:t>
      </w:r>
      <w:r>
        <w:rPr>
          <w:rFonts w:ascii="Arial" w:hAnsi="Arial" w:cs="Arial"/>
          <w:sz w:val="24"/>
        </w:rPr>
        <w:t xml:space="preserve"> - </w:t>
      </w:r>
      <w:r w:rsidR="00D411BF">
        <w:rPr>
          <w:rFonts w:ascii="Arial" w:hAnsi="Arial" w:cs="Arial"/>
          <w:sz w:val="24"/>
        </w:rPr>
        <w:t xml:space="preserve">have been developed as options </w:t>
      </w:r>
      <w:r>
        <w:rPr>
          <w:rFonts w:ascii="Arial" w:hAnsi="Arial" w:cs="Arial"/>
          <w:sz w:val="24"/>
        </w:rPr>
        <w:t>to avoid long-term exclusions.</w:t>
      </w:r>
    </w:p>
    <w:p w:rsidR="003E5F30" w:rsidRPr="00DC0C0B" w:rsidRDefault="003E5F30" w:rsidP="003E5F30">
      <w:pPr>
        <w:pStyle w:val="ListParagraph"/>
        <w:rPr>
          <w:rFonts w:ascii="Arial" w:hAnsi="Arial" w:cs="Arial"/>
          <w:b/>
          <w:sz w:val="24"/>
        </w:rPr>
      </w:pPr>
    </w:p>
    <w:p w:rsidR="003E5F30" w:rsidRDefault="003E5F30" w:rsidP="003E72FC">
      <w:pPr>
        <w:pStyle w:val="ListParagraph"/>
        <w:numPr>
          <w:ilvl w:val="0"/>
          <w:numId w:val="30"/>
        </w:numPr>
        <w:rPr>
          <w:rFonts w:ascii="Arial" w:hAnsi="Arial" w:cs="Arial"/>
          <w:sz w:val="24"/>
        </w:rPr>
      </w:pPr>
      <w:r w:rsidRPr="00C911CF">
        <w:rPr>
          <w:rFonts w:ascii="Arial" w:hAnsi="Arial" w:cs="Arial"/>
          <w:b/>
          <w:sz w:val="24"/>
        </w:rPr>
        <w:t>Ordinarily Available Provision</w:t>
      </w:r>
      <w:r>
        <w:rPr>
          <w:rFonts w:ascii="Arial" w:hAnsi="Arial" w:cs="Arial"/>
          <w:sz w:val="24"/>
        </w:rPr>
        <w:t xml:space="preserve"> - in 2018 we published a shared OAP for the city including expectations of schools vis-à-vis SEMH support</w:t>
      </w:r>
    </w:p>
    <w:p w:rsidR="003E5F30" w:rsidRDefault="003E5F30" w:rsidP="003E5F30">
      <w:pPr>
        <w:pStyle w:val="ListParagraph"/>
        <w:rPr>
          <w:rFonts w:ascii="Arial" w:hAnsi="Arial" w:cs="Arial"/>
          <w:sz w:val="24"/>
        </w:rPr>
      </w:pPr>
    </w:p>
    <w:p w:rsidR="003E5F30" w:rsidRDefault="003E5F30" w:rsidP="003E72FC">
      <w:pPr>
        <w:pStyle w:val="ListParagraph"/>
        <w:numPr>
          <w:ilvl w:val="0"/>
          <w:numId w:val="30"/>
        </w:numPr>
        <w:rPr>
          <w:rFonts w:ascii="Arial" w:hAnsi="Arial" w:cs="Arial"/>
          <w:sz w:val="24"/>
        </w:rPr>
      </w:pPr>
      <w:r w:rsidRPr="00320081">
        <w:rPr>
          <w:rFonts w:ascii="Arial" w:hAnsi="Arial" w:cs="Arial"/>
          <w:b/>
          <w:sz w:val="24"/>
        </w:rPr>
        <w:t>SEMH Partnership</w:t>
      </w:r>
      <w:r>
        <w:rPr>
          <w:rFonts w:ascii="Arial" w:hAnsi="Arial" w:cs="Arial"/>
          <w:sz w:val="24"/>
        </w:rPr>
        <w:t xml:space="preserve"> - in 2018 we set up regular meetings with external agencies to co-ordinate provision in school (school nurses, CAMHS, MABs etc)</w:t>
      </w:r>
    </w:p>
    <w:p w:rsidR="003E5F30" w:rsidRDefault="003E5F30" w:rsidP="003E5F30">
      <w:pPr>
        <w:pStyle w:val="ListParagraph"/>
        <w:rPr>
          <w:rFonts w:ascii="Arial" w:hAnsi="Arial" w:cs="Arial"/>
          <w:sz w:val="24"/>
        </w:rPr>
      </w:pPr>
    </w:p>
    <w:p w:rsidR="003E5F30" w:rsidRDefault="003E5F30" w:rsidP="003E72FC">
      <w:pPr>
        <w:pStyle w:val="ListParagraph"/>
        <w:numPr>
          <w:ilvl w:val="0"/>
          <w:numId w:val="30"/>
        </w:numPr>
        <w:rPr>
          <w:rFonts w:ascii="Arial" w:hAnsi="Arial" w:cs="Arial"/>
          <w:sz w:val="24"/>
        </w:rPr>
      </w:pPr>
      <w:r w:rsidRPr="00320081">
        <w:rPr>
          <w:rFonts w:ascii="Arial" w:hAnsi="Arial" w:cs="Arial"/>
          <w:b/>
          <w:sz w:val="24"/>
        </w:rPr>
        <w:t>PIE QM</w:t>
      </w:r>
      <w:r>
        <w:rPr>
          <w:rFonts w:ascii="Arial" w:hAnsi="Arial" w:cs="Arial"/>
          <w:sz w:val="24"/>
        </w:rPr>
        <w:t xml:space="preserve"> - In 2018 we launched the PIE QM to improve school leadership, culture and practice around inclusion</w:t>
      </w:r>
      <w:r w:rsidR="00211FA6">
        <w:rPr>
          <w:rFonts w:ascii="Arial" w:hAnsi="Arial" w:cs="Arial"/>
          <w:sz w:val="24"/>
        </w:rPr>
        <w:t>.  Consistent use of the PIE QM across our schools offers a real opportunity to drive inclusion and reduce exclusions</w:t>
      </w:r>
    </w:p>
    <w:p w:rsidR="003E5F30" w:rsidRDefault="003E5F30" w:rsidP="003E5F30">
      <w:pPr>
        <w:pStyle w:val="ListParagraph"/>
        <w:rPr>
          <w:rFonts w:ascii="Arial" w:hAnsi="Arial" w:cs="Arial"/>
          <w:sz w:val="24"/>
        </w:rPr>
      </w:pPr>
    </w:p>
    <w:p w:rsidR="003E5F30" w:rsidRDefault="003E5F30" w:rsidP="003E72FC">
      <w:pPr>
        <w:pStyle w:val="ListParagraph"/>
        <w:numPr>
          <w:ilvl w:val="0"/>
          <w:numId w:val="30"/>
        </w:numPr>
        <w:rPr>
          <w:rFonts w:ascii="Arial" w:hAnsi="Arial" w:cs="Arial"/>
          <w:sz w:val="24"/>
        </w:rPr>
      </w:pPr>
      <w:r w:rsidRPr="00320081">
        <w:rPr>
          <w:rFonts w:ascii="Arial" w:hAnsi="Arial" w:cs="Arial"/>
          <w:b/>
          <w:sz w:val="24"/>
        </w:rPr>
        <w:t>EHE Protocol</w:t>
      </w:r>
      <w:r>
        <w:rPr>
          <w:rFonts w:ascii="Arial" w:hAnsi="Arial" w:cs="Arial"/>
          <w:sz w:val="24"/>
        </w:rPr>
        <w:t xml:space="preserve"> - which has successfully reduced demand for EHE (pre-pandemic)</w:t>
      </w:r>
    </w:p>
    <w:p w:rsidR="003E5F30" w:rsidRPr="00AE4922" w:rsidRDefault="003E5F30" w:rsidP="003E5F30">
      <w:pPr>
        <w:pStyle w:val="ListParagraph"/>
        <w:rPr>
          <w:rFonts w:ascii="Arial" w:hAnsi="Arial" w:cs="Arial"/>
          <w:sz w:val="24"/>
        </w:rPr>
      </w:pPr>
    </w:p>
    <w:p w:rsidR="003E5F30" w:rsidRDefault="003E5F30" w:rsidP="003E72FC">
      <w:pPr>
        <w:pStyle w:val="ListParagraph"/>
        <w:numPr>
          <w:ilvl w:val="0"/>
          <w:numId w:val="30"/>
        </w:numPr>
        <w:rPr>
          <w:rFonts w:ascii="Arial" w:hAnsi="Arial" w:cs="Arial"/>
          <w:sz w:val="24"/>
        </w:rPr>
      </w:pPr>
      <w:r w:rsidRPr="00AE4922">
        <w:rPr>
          <w:rFonts w:ascii="Arial" w:hAnsi="Arial" w:cs="Arial"/>
          <w:b/>
          <w:sz w:val="24"/>
        </w:rPr>
        <w:t>Reduced Timetables</w:t>
      </w:r>
      <w:r>
        <w:rPr>
          <w:rFonts w:ascii="Arial" w:hAnsi="Arial" w:cs="Arial"/>
          <w:sz w:val="24"/>
        </w:rPr>
        <w:t xml:space="preserve"> - revised process and tracking of those </w:t>
      </w:r>
      <w:r w:rsidR="00C27B2F">
        <w:rPr>
          <w:rFonts w:ascii="Arial" w:hAnsi="Arial" w:cs="Arial"/>
          <w:sz w:val="24"/>
        </w:rPr>
        <w:t xml:space="preserve">children on reduced timetables </w:t>
      </w:r>
      <w:r w:rsidR="00935854">
        <w:rPr>
          <w:rFonts w:ascii="Arial" w:hAnsi="Arial" w:cs="Arial"/>
          <w:sz w:val="24"/>
        </w:rPr>
        <w:t>that exceed</w:t>
      </w:r>
      <w:r w:rsidR="00C27B2F">
        <w:rPr>
          <w:rFonts w:ascii="Arial" w:hAnsi="Arial" w:cs="Arial"/>
          <w:sz w:val="24"/>
        </w:rPr>
        <w:t xml:space="preserve"> </w:t>
      </w:r>
      <w:r>
        <w:rPr>
          <w:rFonts w:ascii="Arial" w:hAnsi="Arial" w:cs="Arial"/>
          <w:sz w:val="24"/>
        </w:rPr>
        <w:t xml:space="preserve">6 weeks </w:t>
      </w:r>
    </w:p>
    <w:p w:rsidR="003E5F30" w:rsidRDefault="003E5F30" w:rsidP="003E5F30">
      <w:pPr>
        <w:pStyle w:val="ListParagraph"/>
        <w:rPr>
          <w:rFonts w:ascii="Arial" w:hAnsi="Arial" w:cs="Arial"/>
          <w:sz w:val="24"/>
        </w:rPr>
      </w:pPr>
    </w:p>
    <w:p w:rsidR="003E5F30" w:rsidRDefault="003E5F30" w:rsidP="003E72FC">
      <w:pPr>
        <w:pStyle w:val="ListParagraph"/>
        <w:numPr>
          <w:ilvl w:val="0"/>
          <w:numId w:val="30"/>
        </w:numPr>
        <w:rPr>
          <w:rFonts w:ascii="Arial" w:hAnsi="Arial" w:cs="Arial"/>
          <w:sz w:val="24"/>
        </w:rPr>
      </w:pPr>
      <w:r w:rsidRPr="00320081">
        <w:rPr>
          <w:rFonts w:ascii="Arial" w:hAnsi="Arial" w:cs="Arial"/>
          <w:b/>
          <w:sz w:val="24"/>
        </w:rPr>
        <w:t>Team Around the School</w:t>
      </w:r>
      <w:r>
        <w:rPr>
          <w:rFonts w:ascii="Arial" w:hAnsi="Arial" w:cs="Arial"/>
          <w:sz w:val="24"/>
        </w:rPr>
        <w:t xml:space="preserve"> - in 2019 we piloted two schools for joint work with leadership teams to improve SEMH and safeguarding practice</w:t>
      </w:r>
      <w:r w:rsidR="001C0288">
        <w:rPr>
          <w:rFonts w:ascii="Arial" w:hAnsi="Arial" w:cs="Arial"/>
          <w:sz w:val="24"/>
        </w:rPr>
        <w:t>, building on previous work</w:t>
      </w:r>
    </w:p>
    <w:p w:rsidR="003E5F30" w:rsidRDefault="003E5F30" w:rsidP="003E5F30">
      <w:pPr>
        <w:pStyle w:val="ListParagraph"/>
        <w:rPr>
          <w:rFonts w:ascii="Arial" w:hAnsi="Arial" w:cs="Arial"/>
          <w:sz w:val="24"/>
        </w:rPr>
      </w:pPr>
    </w:p>
    <w:p w:rsidR="00FF11C2" w:rsidRPr="003A04AC" w:rsidRDefault="00FF11C2" w:rsidP="00FF11C2">
      <w:pPr>
        <w:pStyle w:val="ListParagraph"/>
        <w:numPr>
          <w:ilvl w:val="0"/>
          <w:numId w:val="30"/>
        </w:numPr>
        <w:rPr>
          <w:rFonts w:ascii="Arial" w:hAnsi="Arial" w:cs="Arial"/>
          <w:sz w:val="24"/>
        </w:rPr>
      </w:pPr>
      <w:r>
        <w:rPr>
          <w:rFonts w:ascii="Arial" w:hAnsi="Arial" w:cs="Arial"/>
          <w:b/>
          <w:sz w:val="24"/>
        </w:rPr>
        <w:t xml:space="preserve">Inclusion </w:t>
      </w:r>
      <w:r w:rsidRPr="003A04AC">
        <w:rPr>
          <w:rFonts w:ascii="Arial" w:hAnsi="Arial" w:cs="Arial"/>
          <w:b/>
          <w:sz w:val="24"/>
        </w:rPr>
        <w:t>Outreach Service</w:t>
      </w:r>
      <w:r>
        <w:rPr>
          <w:rFonts w:ascii="Arial" w:hAnsi="Arial" w:cs="Arial"/>
          <w:sz w:val="24"/>
        </w:rPr>
        <w:t xml:space="preserve"> - in 2019 we launched the new outreach model, with a more flexible, multi-agency offer of support for schools</w:t>
      </w:r>
    </w:p>
    <w:p w:rsidR="00FF11C2" w:rsidRPr="004A0CB8" w:rsidRDefault="00FF11C2" w:rsidP="004A0CB8">
      <w:pPr>
        <w:pStyle w:val="ListParagraph"/>
        <w:rPr>
          <w:rFonts w:ascii="Arial" w:hAnsi="Arial" w:cs="Arial"/>
          <w:sz w:val="24"/>
        </w:rPr>
      </w:pPr>
    </w:p>
    <w:p w:rsidR="004A0CB8" w:rsidRPr="003A04AC" w:rsidRDefault="004A0CB8" w:rsidP="003E72FC">
      <w:pPr>
        <w:pStyle w:val="ListParagraph"/>
        <w:numPr>
          <w:ilvl w:val="0"/>
          <w:numId w:val="30"/>
        </w:numPr>
        <w:rPr>
          <w:rFonts w:ascii="Arial" w:hAnsi="Arial" w:cs="Arial"/>
          <w:sz w:val="24"/>
        </w:rPr>
      </w:pPr>
      <w:r w:rsidRPr="004A0CB8">
        <w:rPr>
          <w:rFonts w:ascii="Arial" w:hAnsi="Arial" w:cs="Arial"/>
          <w:b/>
          <w:sz w:val="24"/>
        </w:rPr>
        <w:t>PCC traded services</w:t>
      </w:r>
      <w:r>
        <w:rPr>
          <w:rFonts w:ascii="Arial" w:hAnsi="Arial" w:cs="Arial"/>
          <w:sz w:val="24"/>
        </w:rPr>
        <w:t xml:space="preserve"> including Attendance and Education Psychology </w:t>
      </w:r>
    </w:p>
    <w:p w:rsidR="003E5F30" w:rsidRPr="003A04AC" w:rsidRDefault="003E5F30" w:rsidP="003E5F30">
      <w:pPr>
        <w:pStyle w:val="ListParagraph"/>
        <w:rPr>
          <w:rFonts w:ascii="Arial" w:hAnsi="Arial" w:cs="Arial"/>
          <w:b/>
          <w:sz w:val="24"/>
        </w:rPr>
      </w:pPr>
    </w:p>
    <w:p w:rsidR="003E5F30" w:rsidRDefault="00FA52FE" w:rsidP="003E72FC">
      <w:pPr>
        <w:pStyle w:val="ListParagraph"/>
        <w:numPr>
          <w:ilvl w:val="0"/>
          <w:numId w:val="30"/>
        </w:numPr>
        <w:rPr>
          <w:rFonts w:ascii="Arial" w:hAnsi="Arial" w:cs="Arial"/>
          <w:sz w:val="24"/>
        </w:rPr>
      </w:pPr>
      <w:r>
        <w:rPr>
          <w:rFonts w:ascii="Arial" w:hAnsi="Arial" w:cs="Arial"/>
          <w:b/>
          <w:sz w:val="24"/>
        </w:rPr>
        <w:t>Identifying schools needing focussed support</w:t>
      </w:r>
      <w:r w:rsidR="003E5F30">
        <w:rPr>
          <w:rFonts w:ascii="Arial" w:hAnsi="Arial" w:cs="Arial"/>
          <w:sz w:val="24"/>
        </w:rPr>
        <w:t xml:space="preserve"> - in 2019 we used data (and a new way to stratify schools) which identified 9 'very high' or 'high' excluding' schools and 10 medium excluding schools to work with </w:t>
      </w:r>
    </w:p>
    <w:p w:rsidR="003E5F30" w:rsidRDefault="003E5F30" w:rsidP="003E5F30">
      <w:pPr>
        <w:pStyle w:val="ListParagraph"/>
        <w:rPr>
          <w:rFonts w:ascii="Arial" w:hAnsi="Arial" w:cs="Arial"/>
          <w:sz w:val="24"/>
        </w:rPr>
      </w:pPr>
    </w:p>
    <w:p w:rsidR="003E5F30" w:rsidRPr="00834B27" w:rsidRDefault="003E5F30" w:rsidP="003E72FC">
      <w:pPr>
        <w:pStyle w:val="ListParagraph"/>
        <w:numPr>
          <w:ilvl w:val="0"/>
          <w:numId w:val="30"/>
        </w:numPr>
        <w:rPr>
          <w:rFonts w:ascii="Arial" w:hAnsi="Arial" w:cs="Arial"/>
          <w:sz w:val="24"/>
        </w:rPr>
      </w:pPr>
      <w:r w:rsidRPr="003A04AC">
        <w:rPr>
          <w:rFonts w:ascii="Arial" w:hAnsi="Arial" w:cs="Arial"/>
          <w:b/>
          <w:sz w:val="24"/>
        </w:rPr>
        <w:t>Mental Health Support Teams</w:t>
      </w:r>
      <w:r w:rsidR="004A0CB8">
        <w:rPr>
          <w:rFonts w:ascii="Arial" w:hAnsi="Arial" w:cs="Arial"/>
          <w:sz w:val="24"/>
        </w:rPr>
        <w:t xml:space="preserve"> - i</w:t>
      </w:r>
      <w:r>
        <w:rPr>
          <w:rFonts w:ascii="Arial" w:hAnsi="Arial" w:cs="Arial"/>
          <w:sz w:val="24"/>
        </w:rPr>
        <w:t>n 2019 we commissioned (Wave 2) MHSTs with an additional (Wave 4) Team secured in 2020.  Roll out continues.</w:t>
      </w:r>
    </w:p>
    <w:p w:rsidR="003E5F30" w:rsidRDefault="003E5F30" w:rsidP="003E5F30">
      <w:pPr>
        <w:rPr>
          <w:rFonts w:ascii="Arial" w:hAnsi="Arial" w:cs="Arial"/>
          <w:sz w:val="24"/>
        </w:rPr>
      </w:pPr>
    </w:p>
    <w:p w:rsidR="00EB1929" w:rsidRPr="0048076C" w:rsidRDefault="00CF2FFD" w:rsidP="003E72FC">
      <w:pPr>
        <w:pStyle w:val="ListParagraph"/>
        <w:numPr>
          <w:ilvl w:val="0"/>
          <w:numId w:val="26"/>
        </w:numPr>
        <w:ind w:left="426"/>
        <w:rPr>
          <w:rFonts w:ascii="Arial" w:hAnsi="Arial" w:cs="Arial"/>
          <w:sz w:val="24"/>
        </w:rPr>
      </w:pPr>
      <w:r w:rsidRPr="0048076C">
        <w:rPr>
          <w:rFonts w:ascii="Arial" w:hAnsi="Arial" w:cs="Arial"/>
          <w:sz w:val="24"/>
        </w:rPr>
        <w:t>S</w:t>
      </w:r>
      <w:r w:rsidR="00EB1929" w:rsidRPr="0048076C">
        <w:rPr>
          <w:rFonts w:ascii="Arial" w:hAnsi="Arial" w:cs="Arial"/>
          <w:sz w:val="24"/>
        </w:rPr>
        <w:t>ince the pandemic started, more work and planning has taken place including:</w:t>
      </w:r>
    </w:p>
    <w:p w:rsidR="00EB1929" w:rsidRDefault="00EB1929" w:rsidP="003E5F30">
      <w:pPr>
        <w:rPr>
          <w:rFonts w:ascii="Arial" w:hAnsi="Arial" w:cs="Arial"/>
          <w:sz w:val="24"/>
        </w:rPr>
      </w:pPr>
    </w:p>
    <w:p w:rsidR="00EB1929" w:rsidRDefault="0056314A" w:rsidP="00935854">
      <w:pPr>
        <w:pStyle w:val="ListParagraph"/>
        <w:numPr>
          <w:ilvl w:val="0"/>
          <w:numId w:val="33"/>
        </w:numPr>
        <w:rPr>
          <w:rFonts w:ascii="Arial" w:hAnsi="Arial" w:cs="Arial"/>
          <w:sz w:val="24"/>
        </w:rPr>
      </w:pPr>
      <w:r>
        <w:rPr>
          <w:rFonts w:ascii="Arial" w:hAnsi="Arial" w:cs="Arial"/>
          <w:b/>
          <w:sz w:val="24"/>
        </w:rPr>
        <w:t xml:space="preserve">LA Education </w:t>
      </w:r>
      <w:r w:rsidR="00EB1929" w:rsidRPr="00DC0C0B">
        <w:rPr>
          <w:rFonts w:ascii="Arial" w:hAnsi="Arial" w:cs="Arial"/>
          <w:b/>
          <w:sz w:val="24"/>
        </w:rPr>
        <w:t>Link Co-ordinators</w:t>
      </w:r>
      <w:r w:rsidR="00EB1929">
        <w:rPr>
          <w:rFonts w:ascii="Arial" w:hAnsi="Arial" w:cs="Arial"/>
          <w:sz w:val="24"/>
        </w:rPr>
        <w:t xml:space="preserve"> - moving beyond lockdown related issues to focus conversations between the LA and schools on inclusion issues</w:t>
      </w:r>
      <w:r w:rsidR="00FA586E">
        <w:rPr>
          <w:rFonts w:ascii="Arial" w:hAnsi="Arial" w:cs="Arial"/>
          <w:sz w:val="24"/>
        </w:rPr>
        <w:t xml:space="preserve"> and monitoring attendance of vulnerable children and young people in each school, with a particular focus on chronic non attendees (CNA). The latest data available on CNA is attached. </w:t>
      </w:r>
    </w:p>
    <w:p w:rsidR="00EB1929" w:rsidRDefault="00EB1929" w:rsidP="00935854">
      <w:pPr>
        <w:pStyle w:val="ListParagraph"/>
        <w:rPr>
          <w:rFonts w:ascii="Arial" w:hAnsi="Arial" w:cs="Arial"/>
          <w:sz w:val="24"/>
        </w:rPr>
      </w:pPr>
    </w:p>
    <w:p w:rsidR="00EB1929" w:rsidRDefault="00EB1929" w:rsidP="00935854">
      <w:pPr>
        <w:pStyle w:val="ListParagraph"/>
        <w:numPr>
          <w:ilvl w:val="0"/>
          <w:numId w:val="33"/>
        </w:numPr>
        <w:rPr>
          <w:rFonts w:ascii="Arial" w:hAnsi="Arial" w:cs="Arial"/>
          <w:sz w:val="24"/>
        </w:rPr>
      </w:pPr>
      <w:r w:rsidRPr="00DC0C0B">
        <w:rPr>
          <w:rFonts w:ascii="Arial" w:hAnsi="Arial" w:cs="Arial"/>
          <w:b/>
          <w:sz w:val="24"/>
        </w:rPr>
        <w:t>Studybugs</w:t>
      </w:r>
      <w:r>
        <w:rPr>
          <w:rFonts w:ascii="Arial" w:hAnsi="Arial" w:cs="Arial"/>
          <w:sz w:val="24"/>
        </w:rPr>
        <w:t xml:space="preserve"> - using real-time attendance and exclusion data at child-level to reduce absence and exclusions </w:t>
      </w:r>
    </w:p>
    <w:p w:rsidR="00EB1929" w:rsidRPr="00DC0C0B" w:rsidRDefault="00EB1929" w:rsidP="00935854">
      <w:pPr>
        <w:pStyle w:val="ListParagraph"/>
        <w:rPr>
          <w:rFonts w:ascii="Arial" w:hAnsi="Arial" w:cs="Arial"/>
          <w:sz w:val="24"/>
        </w:rPr>
      </w:pPr>
    </w:p>
    <w:p w:rsidR="00EB1929" w:rsidRPr="00AD0AC3" w:rsidRDefault="00EB1929" w:rsidP="00935854">
      <w:pPr>
        <w:pStyle w:val="ListParagraph"/>
        <w:numPr>
          <w:ilvl w:val="0"/>
          <w:numId w:val="33"/>
        </w:numPr>
        <w:rPr>
          <w:rFonts w:ascii="Arial" w:hAnsi="Arial" w:cs="Arial"/>
          <w:sz w:val="24"/>
        </w:rPr>
      </w:pPr>
      <w:r w:rsidRPr="00AD0AC3">
        <w:rPr>
          <w:rFonts w:ascii="Arial" w:hAnsi="Arial" w:cs="Arial"/>
          <w:b/>
          <w:sz w:val="24"/>
        </w:rPr>
        <w:t>Early Help Assessments</w:t>
      </w:r>
      <w:r>
        <w:rPr>
          <w:rFonts w:ascii="Arial" w:hAnsi="Arial" w:cs="Arial"/>
          <w:sz w:val="24"/>
        </w:rPr>
        <w:t xml:space="preserve"> - we have a multi-agency working group redesigning the EHA to make it easier to use for schools to be lead professionals and do holistic family-based assessment to reduce exclusions/raise attendance</w:t>
      </w:r>
    </w:p>
    <w:p w:rsidR="00EB1929" w:rsidRPr="00AD0AC3" w:rsidRDefault="00EB1929" w:rsidP="00935854">
      <w:pPr>
        <w:pStyle w:val="ListParagraph"/>
        <w:rPr>
          <w:rFonts w:ascii="Arial" w:hAnsi="Arial" w:cs="Arial"/>
          <w:b/>
          <w:sz w:val="24"/>
        </w:rPr>
      </w:pPr>
    </w:p>
    <w:p w:rsidR="00EB1929" w:rsidRDefault="00EB1929" w:rsidP="00935854">
      <w:pPr>
        <w:pStyle w:val="ListParagraph"/>
        <w:numPr>
          <w:ilvl w:val="0"/>
          <w:numId w:val="33"/>
        </w:numPr>
        <w:rPr>
          <w:rFonts w:ascii="Arial" w:hAnsi="Arial" w:cs="Arial"/>
          <w:sz w:val="24"/>
        </w:rPr>
      </w:pPr>
      <w:r w:rsidRPr="00DC0C0B">
        <w:rPr>
          <w:rFonts w:ascii="Arial" w:hAnsi="Arial" w:cs="Arial"/>
          <w:b/>
          <w:sz w:val="24"/>
        </w:rPr>
        <w:t>Review of In-school AP</w:t>
      </w:r>
      <w:r>
        <w:rPr>
          <w:rFonts w:ascii="Arial" w:hAnsi="Arial" w:cs="Arial"/>
          <w:sz w:val="24"/>
        </w:rPr>
        <w:t xml:space="preserve"> - commissioning Delta Academy Trust to review on site </w:t>
      </w:r>
      <w:r w:rsidR="001C0288">
        <w:rPr>
          <w:rFonts w:ascii="Arial" w:hAnsi="Arial" w:cs="Arial"/>
          <w:sz w:val="24"/>
        </w:rPr>
        <w:t xml:space="preserve">secondary </w:t>
      </w:r>
      <w:r>
        <w:rPr>
          <w:rFonts w:ascii="Arial" w:hAnsi="Arial" w:cs="Arial"/>
          <w:sz w:val="24"/>
        </w:rPr>
        <w:t>AP (Tier 3 of our model)</w:t>
      </w:r>
    </w:p>
    <w:p w:rsidR="00EB1929" w:rsidRPr="00DC0C0B" w:rsidRDefault="00EB1929" w:rsidP="00935854">
      <w:pPr>
        <w:pStyle w:val="ListParagraph"/>
        <w:rPr>
          <w:rFonts w:ascii="Arial" w:hAnsi="Arial" w:cs="Arial"/>
          <w:sz w:val="24"/>
        </w:rPr>
      </w:pPr>
    </w:p>
    <w:p w:rsidR="00EB1929" w:rsidRDefault="00EB1929" w:rsidP="00935854">
      <w:pPr>
        <w:pStyle w:val="ListParagraph"/>
        <w:numPr>
          <w:ilvl w:val="0"/>
          <w:numId w:val="33"/>
        </w:numPr>
        <w:rPr>
          <w:rFonts w:ascii="Arial" w:hAnsi="Arial" w:cs="Arial"/>
          <w:sz w:val="24"/>
        </w:rPr>
      </w:pPr>
      <w:r w:rsidRPr="00AD0AC3">
        <w:rPr>
          <w:rFonts w:ascii="Arial" w:hAnsi="Arial" w:cs="Arial"/>
          <w:b/>
          <w:sz w:val="24"/>
        </w:rPr>
        <w:t>Reshaping MHSTs</w:t>
      </w:r>
      <w:r>
        <w:rPr>
          <w:rFonts w:ascii="Arial" w:hAnsi="Arial" w:cs="Arial"/>
          <w:sz w:val="24"/>
        </w:rPr>
        <w:t xml:space="preserve"> - moving beyond the CBT model to better focus on children with 'behavioural' challenges.  Better alignment with MABS and a more sensible approach to whole school work in line with our principles and approaches</w:t>
      </w:r>
    </w:p>
    <w:p w:rsidR="00EB1929" w:rsidRPr="00AD0AC3" w:rsidRDefault="00EB1929" w:rsidP="00935854">
      <w:pPr>
        <w:pStyle w:val="ListParagraph"/>
        <w:rPr>
          <w:rFonts w:ascii="Arial" w:hAnsi="Arial" w:cs="Arial"/>
          <w:sz w:val="24"/>
        </w:rPr>
      </w:pPr>
    </w:p>
    <w:p w:rsidR="00EB1929" w:rsidRDefault="0056314A" w:rsidP="00935854">
      <w:pPr>
        <w:pStyle w:val="ListParagraph"/>
        <w:numPr>
          <w:ilvl w:val="0"/>
          <w:numId w:val="33"/>
        </w:numPr>
        <w:rPr>
          <w:rFonts w:ascii="Arial" w:hAnsi="Arial" w:cs="Arial"/>
          <w:sz w:val="24"/>
        </w:rPr>
      </w:pPr>
      <w:r>
        <w:rPr>
          <w:rFonts w:ascii="Arial" w:hAnsi="Arial" w:cs="Arial"/>
          <w:b/>
          <w:sz w:val="24"/>
        </w:rPr>
        <w:t>Termly LA S</w:t>
      </w:r>
      <w:r w:rsidR="00EB1929" w:rsidRPr="00AD0AC3">
        <w:rPr>
          <w:rFonts w:ascii="Arial" w:hAnsi="Arial" w:cs="Arial"/>
          <w:b/>
          <w:sz w:val="24"/>
        </w:rPr>
        <w:t>chool Resource Allocation Meetings</w:t>
      </w:r>
      <w:r w:rsidR="00EB1929">
        <w:rPr>
          <w:rFonts w:ascii="Arial" w:hAnsi="Arial" w:cs="Arial"/>
          <w:sz w:val="24"/>
        </w:rPr>
        <w:t xml:space="preserve"> - ensuring the local authority support services are appropriately </w:t>
      </w:r>
      <w:r w:rsidR="0000477C">
        <w:rPr>
          <w:rFonts w:ascii="Arial" w:hAnsi="Arial" w:cs="Arial"/>
          <w:sz w:val="24"/>
        </w:rPr>
        <w:t xml:space="preserve">and proportionally </w:t>
      </w:r>
      <w:r w:rsidR="00EB1929">
        <w:rPr>
          <w:rFonts w:ascii="Arial" w:hAnsi="Arial" w:cs="Arial"/>
          <w:sz w:val="24"/>
        </w:rPr>
        <w:t>allocated to schools</w:t>
      </w:r>
    </w:p>
    <w:p w:rsidR="00EB1929" w:rsidRPr="00AD0AC3" w:rsidRDefault="00EB1929" w:rsidP="00EB1929">
      <w:pPr>
        <w:pStyle w:val="ListParagraph"/>
        <w:rPr>
          <w:rFonts w:ascii="Arial" w:hAnsi="Arial" w:cs="Arial"/>
          <w:sz w:val="24"/>
        </w:rPr>
      </w:pPr>
    </w:p>
    <w:p w:rsidR="003E72FC" w:rsidRDefault="00EB1929" w:rsidP="003E72FC">
      <w:pPr>
        <w:pStyle w:val="ListParagraph"/>
        <w:numPr>
          <w:ilvl w:val="0"/>
          <w:numId w:val="26"/>
        </w:numPr>
        <w:ind w:left="426"/>
        <w:rPr>
          <w:rFonts w:ascii="Arial" w:hAnsi="Arial" w:cs="Arial"/>
          <w:sz w:val="24"/>
          <w:szCs w:val="24"/>
        </w:rPr>
      </w:pPr>
      <w:r w:rsidRPr="0048076C">
        <w:rPr>
          <w:rFonts w:ascii="Arial" w:hAnsi="Arial" w:cs="Arial"/>
          <w:sz w:val="24"/>
          <w:szCs w:val="24"/>
        </w:rPr>
        <w:t xml:space="preserve">This is obviously in addition to the significant efforts by every school in the city to </w:t>
      </w:r>
      <w:r w:rsidR="00FA52FE" w:rsidRPr="0048076C">
        <w:rPr>
          <w:rFonts w:ascii="Arial" w:hAnsi="Arial" w:cs="Arial"/>
          <w:sz w:val="24"/>
          <w:szCs w:val="24"/>
        </w:rPr>
        <w:t xml:space="preserve">increase attendance and </w:t>
      </w:r>
      <w:r w:rsidRPr="0048076C">
        <w:rPr>
          <w:rFonts w:ascii="Arial" w:hAnsi="Arial" w:cs="Arial"/>
          <w:sz w:val="24"/>
          <w:szCs w:val="24"/>
        </w:rPr>
        <w:t>reduce exclusions.</w:t>
      </w:r>
    </w:p>
    <w:p w:rsidR="003E72FC" w:rsidRDefault="003E72FC" w:rsidP="003E72FC">
      <w:pPr>
        <w:pStyle w:val="ListParagraph"/>
        <w:ind w:left="426"/>
        <w:rPr>
          <w:rFonts w:ascii="Arial" w:hAnsi="Arial" w:cs="Arial"/>
          <w:sz w:val="24"/>
          <w:szCs w:val="24"/>
        </w:rPr>
      </w:pPr>
    </w:p>
    <w:p w:rsidR="003E5F30" w:rsidRPr="003E72FC" w:rsidRDefault="003E5F30" w:rsidP="003E72FC">
      <w:pPr>
        <w:pStyle w:val="ListParagraph"/>
        <w:numPr>
          <w:ilvl w:val="0"/>
          <w:numId w:val="26"/>
        </w:numPr>
        <w:ind w:left="426"/>
        <w:rPr>
          <w:rFonts w:ascii="Arial" w:hAnsi="Arial" w:cs="Arial"/>
          <w:sz w:val="24"/>
          <w:szCs w:val="24"/>
        </w:rPr>
      </w:pPr>
      <w:r w:rsidRPr="003E72FC">
        <w:rPr>
          <w:rFonts w:ascii="Arial" w:hAnsi="Arial" w:cs="Arial"/>
          <w:sz w:val="24"/>
          <w:szCs w:val="24"/>
        </w:rPr>
        <w:t xml:space="preserve">It should </w:t>
      </w:r>
      <w:r w:rsidR="00EB1929" w:rsidRPr="003E72FC">
        <w:rPr>
          <w:rFonts w:ascii="Arial" w:hAnsi="Arial" w:cs="Arial"/>
          <w:sz w:val="24"/>
          <w:szCs w:val="24"/>
        </w:rPr>
        <w:t xml:space="preserve">also </w:t>
      </w:r>
      <w:r w:rsidRPr="003E72FC">
        <w:rPr>
          <w:rFonts w:ascii="Arial" w:hAnsi="Arial" w:cs="Arial"/>
          <w:sz w:val="24"/>
          <w:szCs w:val="24"/>
        </w:rPr>
        <w:t>be noted, that all of these initiative</w:t>
      </w:r>
      <w:r w:rsidR="00EB1929" w:rsidRPr="003E72FC">
        <w:rPr>
          <w:rFonts w:ascii="Arial" w:hAnsi="Arial" w:cs="Arial"/>
          <w:sz w:val="24"/>
          <w:szCs w:val="24"/>
        </w:rPr>
        <w:t>s</w:t>
      </w:r>
      <w:r w:rsidRPr="003E72FC">
        <w:rPr>
          <w:rFonts w:ascii="Arial" w:hAnsi="Arial" w:cs="Arial"/>
          <w:sz w:val="24"/>
          <w:szCs w:val="24"/>
        </w:rPr>
        <w:t xml:space="preserve"> build on a long standing set of very good arrangements in terms of the LA Inclusion Service</w:t>
      </w:r>
      <w:r w:rsidR="00EB1929" w:rsidRPr="003E72FC">
        <w:rPr>
          <w:rFonts w:ascii="Arial" w:hAnsi="Arial" w:cs="Arial"/>
          <w:sz w:val="24"/>
          <w:szCs w:val="24"/>
        </w:rPr>
        <w:t>s, traded services such as Education Psychologists and MABs and wider health and early help and safeguarding services</w:t>
      </w:r>
    </w:p>
    <w:p w:rsidR="003E5F30" w:rsidRPr="0048076C" w:rsidRDefault="003E5F30" w:rsidP="003E5F30">
      <w:pPr>
        <w:rPr>
          <w:rFonts w:ascii="Arial" w:hAnsi="Arial" w:cs="Arial"/>
          <w:sz w:val="24"/>
          <w:szCs w:val="24"/>
        </w:rPr>
      </w:pPr>
      <w:r w:rsidRPr="0048076C">
        <w:rPr>
          <w:rFonts w:ascii="Arial" w:hAnsi="Arial" w:cs="Arial"/>
          <w:sz w:val="24"/>
          <w:szCs w:val="24"/>
        </w:rPr>
        <w:t xml:space="preserve">  </w:t>
      </w:r>
    </w:p>
    <w:p w:rsidR="0019490B" w:rsidRPr="0048076C" w:rsidRDefault="0019490B" w:rsidP="00403AD4">
      <w:pPr>
        <w:rPr>
          <w:rFonts w:ascii="Arial" w:hAnsi="Arial" w:cs="Arial"/>
          <w:sz w:val="24"/>
          <w:szCs w:val="24"/>
        </w:rPr>
      </w:pPr>
    </w:p>
    <w:p w:rsidR="00FA52FE" w:rsidRPr="0048076C" w:rsidRDefault="00CF2FFD" w:rsidP="0048076C">
      <w:pPr>
        <w:rPr>
          <w:rFonts w:ascii="Arial" w:hAnsi="Arial" w:cs="Arial"/>
          <w:b/>
          <w:color w:val="2E74B5" w:themeColor="accent1" w:themeShade="BF"/>
          <w:sz w:val="28"/>
        </w:rPr>
      </w:pPr>
      <w:r>
        <w:rPr>
          <w:rFonts w:ascii="Arial" w:hAnsi="Arial" w:cs="Arial"/>
          <w:b/>
          <w:color w:val="2E74B5" w:themeColor="accent1" w:themeShade="BF"/>
          <w:sz w:val="28"/>
        </w:rPr>
        <w:t>O</w:t>
      </w:r>
      <w:r w:rsidR="00C85943">
        <w:rPr>
          <w:rFonts w:ascii="Arial" w:hAnsi="Arial" w:cs="Arial"/>
          <w:b/>
          <w:color w:val="2E74B5" w:themeColor="accent1" w:themeShade="BF"/>
          <w:sz w:val="28"/>
        </w:rPr>
        <w:t xml:space="preserve">UR CONCERN: WHY THIS MATTERS </w:t>
      </w:r>
    </w:p>
    <w:p w:rsidR="0019490B" w:rsidRDefault="0019490B" w:rsidP="0048076C">
      <w:pPr>
        <w:pStyle w:val="ListParagraph"/>
        <w:ind w:left="284"/>
        <w:rPr>
          <w:rFonts w:ascii="Arial" w:hAnsi="Arial" w:cs="Arial"/>
          <w:b/>
          <w:color w:val="2E74B5" w:themeColor="accent1" w:themeShade="BF"/>
          <w:sz w:val="28"/>
        </w:rPr>
      </w:pPr>
    </w:p>
    <w:p w:rsidR="003E72FC" w:rsidRDefault="00B26D15" w:rsidP="003E72FC">
      <w:pPr>
        <w:pStyle w:val="ListParagraph"/>
        <w:numPr>
          <w:ilvl w:val="0"/>
          <w:numId w:val="26"/>
        </w:numPr>
        <w:ind w:left="426"/>
        <w:rPr>
          <w:rFonts w:ascii="Arial" w:hAnsi="Arial" w:cs="Arial"/>
          <w:sz w:val="24"/>
        </w:rPr>
      </w:pPr>
      <w:r>
        <w:rPr>
          <w:rFonts w:ascii="Arial" w:hAnsi="Arial" w:cs="Arial"/>
          <w:sz w:val="24"/>
        </w:rPr>
        <w:t>Relatively low levels of a</w:t>
      </w:r>
      <w:r w:rsidR="00C27B2F" w:rsidRPr="0048076C">
        <w:rPr>
          <w:rFonts w:ascii="Arial" w:hAnsi="Arial" w:cs="Arial"/>
          <w:sz w:val="24"/>
        </w:rPr>
        <w:t xml:space="preserve">ttendance and high </w:t>
      </w:r>
      <w:r w:rsidR="00CF2FFD" w:rsidRPr="0048076C">
        <w:rPr>
          <w:rFonts w:ascii="Arial" w:hAnsi="Arial" w:cs="Arial"/>
          <w:sz w:val="24"/>
        </w:rPr>
        <w:t xml:space="preserve">levels of fixed term </w:t>
      </w:r>
      <w:r w:rsidR="00C27B2F" w:rsidRPr="0048076C">
        <w:rPr>
          <w:rFonts w:ascii="Arial" w:hAnsi="Arial" w:cs="Arial"/>
          <w:sz w:val="24"/>
        </w:rPr>
        <w:t>exclusion</w:t>
      </w:r>
      <w:r>
        <w:rPr>
          <w:rFonts w:ascii="Arial" w:hAnsi="Arial" w:cs="Arial"/>
          <w:sz w:val="24"/>
        </w:rPr>
        <w:t>s particularly in secondary schools</w:t>
      </w:r>
      <w:r w:rsidR="00C27B2F" w:rsidRPr="0048076C">
        <w:rPr>
          <w:rFonts w:ascii="Arial" w:hAnsi="Arial" w:cs="Arial"/>
          <w:sz w:val="24"/>
        </w:rPr>
        <w:t xml:space="preserve"> have been a feature of the Portsmouth education landscape for a long time - these are not new findings.  </w:t>
      </w:r>
      <w:r w:rsidR="00F150E4" w:rsidRPr="0048076C">
        <w:rPr>
          <w:rFonts w:ascii="Arial" w:hAnsi="Arial" w:cs="Arial"/>
          <w:sz w:val="24"/>
        </w:rPr>
        <w:t xml:space="preserve">We </w:t>
      </w:r>
      <w:r>
        <w:rPr>
          <w:rFonts w:ascii="Arial" w:hAnsi="Arial" w:cs="Arial"/>
          <w:sz w:val="24"/>
        </w:rPr>
        <w:t xml:space="preserve">remain concerned </w:t>
      </w:r>
      <w:r w:rsidR="00F150E4" w:rsidRPr="0048076C">
        <w:rPr>
          <w:rFonts w:ascii="Arial" w:hAnsi="Arial" w:cs="Arial"/>
          <w:sz w:val="24"/>
        </w:rPr>
        <w:t xml:space="preserve">about the impact of low attendance and </w:t>
      </w:r>
      <w:r>
        <w:rPr>
          <w:rFonts w:ascii="Arial" w:hAnsi="Arial" w:cs="Arial"/>
          <w:sz w:val="24"/>
        </w:rPr>
        <w:t xml:space="preserve">continuing high levels of fixed period </w:t>
      </w:r>
      <w:r w:rsidR="00F150E4" w:rsidRPr="0048076C">
        <w:rPr>
          <w:rFonts w:ascii="Arial" w:hAnsi="Arial" w:cs="Arial"/>
          <w:sz w:val="24"/>
        </w:rPr>
        <w:t xml:space="preserve">exclusions on the life chances and wellbeing of individual children. We know that being in school consistently is crucial to children making progress and gaining the qualifications they need for success in their lives. </w:t>
      </w:r>
    </w:p>
    <w:p w:rsidR="003E72FC" w:rsidRDefault="003E72FC" w:rsidP="003E72FC">
      <w:pPr>
        <w:pStyle w:val="ListParagraph"/>
        <w:ind w:left="426"/>
        <w:rPr>
          <w:rFonts w:ascii="Arial" w:hAnsi="Arial" w:cs="Arial"/>
          <w:sz w:val="24"/>
        </w:rPr>
      </w:pPr>
    </w:p>
    <w:p w:rsidR="0019490B" w:rsidRPr="0048076C" w:rsidRDefault="00F150E4" w:rsidP="003E72FC">
      <w:pPr>
        <w:pStyle w:val="ListParagraph"/>
        <w:numPr>
          <w:ilvl w:val="0"/>
          <w:numId w:val="26"/>
        </w:numPr>
        <w:ind w:left="426"/>
        <w:rPr>
          <w:rFonts w:ascii="Arial" w:hAnsi="Arial" w:cs="Arial"/>
          <w:sz w:val="24"/>
        </w:rPr>
      </w:pPr>
      <w:r w:rsidRPr="0048076C">
        <w:rPr>
          <w:rFonts w:ascii="Arial" w:hAnsi="Arial" w:cs="Arial"/>
          <w:sz w:val="24"/>
        </w:rPr>
        <w:t xml:space="preserve">We also know that being out of school places children at significant risk in terms of criminal exploitation, involvement in criminal activities and other safeguarding risks. Where children are looked after, periods out of school or with poor attendance can threaten the stability of their placements, leading to more enforced changes for them and harming their emotional wellbeing. Being fully part of their school community is essential to the sense of belonging and self-worth which is the right of all children. It is crucial to the developmental progression and social networks which will sustain them beyond their statutory school years. </w:t>
      </w:r>
    </w:p>
    <w:p w:rsidR="00F150E4" w:rsidRPr="0000094D" w:rsidRDefault="00F150E4" w:rsidP="00403AD4">
      <w:pPr>
        <w:rPr>
          <w:rFonts w:ascii="Arial" w:hAnsi="Arial" w:cs="Arial"/>
          <w:sz w:val="24"/>
        </w:rPr>
      </w:pPr>
    </w:p>
    <w:p w:rsidR="00FA586E" w:rsidRPr="0000094D" w:rsidRDefault="00FA586E" w:rsidP="00403AD4">
      <w:pPr>
        <w:rPr>
          <w:rFonts w:ascii="Arial" w:hAnsi="Arial" w:cs="Arial"/>
          <w:sz w:val="24"/>
        </w:rPr>
      </w:pPr>
    </w:p>
    <w:p w:rsidR="00CF2FFD" w:rsidRPr="0048076C" w:rsidRDefault="00CF2FFD" w:rsidP="00403AD4">
      <w:pPr>
        <w:rPr>
          <w:rFonts w:ascii="Arial" w:hAnsi="Arial" w:cs="Arial"/>
          <w:b/>
          <w:color w:val="2E74B5" w:themeColor="accent1" w:themeShade="BF"/>
          <w:sz w:val="28"/>
          <w:szCs w:val="28"/>
        </w:rPr>
      </w:pPr>
      <w:r w:rsidRPr="0048076C">
        <w:rPr>
          <w:rFonts w:ascii="Arial" w:hAnsi="Arial" w:cs="Arial"/>
          <w:b/>
          <w:color w:val="2E74B5" w:themeColor="accent1" w:themeShade="BF"/>
          <w:sz w:val="28"/>
          <w:szCs w:val="28"/>
        </w:rPr>
        <w:t>O</w:t>
      </w:r>
      <w:r w:rsidR="00C85943">
        <w:rPr>
          <w:rFonts w:ascii="Arial" w:hAnsi="Arial" w:cs="Arial"/>
          <w:b/>
          <w:color w:val="2E74B5" w:themeColor="accent1" w:themeShade="BF"/>
          <w:sz w:val="28"/>
          <w:szCs w:val="28"/>
        </w:rPr>
        <w:t xml:space="preserve">UR BELIEF: IMPROVEMENT IS POSSIBLE THROUGH WORKING TOGETHER </w:t>
      </w:r>
    </w:p>
    <w:p w:rsidR="00C27B2F" w:rsidRPr="0048076C" w:rsidRDefault="00C27B2F" w:rsidP="00403AD4">
      <w:pPr>
        <w:rPr>
          <w:rFonts w:ascii="Arial" w:hAnsi="Arial" w:cs="Arial"/>
          <w:sz w:val="28"/>
          <w:szCs w:val="28"/>
        </w:rPr>
      </w:pPr>
    </w:p>
    <w:p w:rsidR="00DB58A6" w:rsidRPr="00FA586E" w:rsidRDefault="00B55F87" w:rsidP="003E72FC">
      <w:pPr>
        <w:pStyle w:val="ListParagraph"/>
        <w:numPr>
          <w:ilvl w:val="0"/>
          <w:numId w:val="26"/>
        </w:numPr>
        <w:ind w:left="426"/>
        <w:rPr>
          <w:rFonts w:ascii="Arial" w:hAnsi="Arial" w:cs="Arial"/>
          <w:b/>
          <w:sz w:val="24"/>
        </w:rPr>
      </w:pPr>
      <w:r w:rsidRPr="00FA586E">
        <w:rPr>
          <w:rFonts w:ascii="Arial" w:hAnsi="Arial" w:cs="Arial"/>
          <w:b/>
          <w:sz w:val="24"/>
        </w:rPr>
        <w:t>First, d</w:t>
      </w:r>
      <w:r w:rsidR="001F4573" w:rsidRPr="00FA586E">
        <w:rPr>
          <w:rFonts w:ascii="Arial" w:hAnsi="Arial" w:cs="Arial"/>
          <w:b/>
          <w:sz w:val="24"/>
        </w:rPr>
        <w:t>o</w:t>
      </w:r>
      <w:r w:rsidR="00DB58A6" w:rsidRPr="00FA586E">
        <w:rPr>
          <w:rFonts w:ascii="Arial" w:hAnsi="Arial" w:cs="Arial"/>
          <w:b/>
          <w:sz w:val="24"/>
        </w:rPr>
        <w:t xml:space="preserve"> exclusion</w:t>
      </w:r>
      <w:r w:rsidR="001F4573" w:rsidRPr="00FA586E">
        <w:rPr>
          <w:rFonts w:ascii="Arial" w:hAnsi="Arial" w:cs="Arial"/>
          <w:b/>
          <w:sz w:val="24"/>
        </w:rPr>
        <w:t xml:space="preserve">s </w:t>
      </w:r>
      <w:r w:rsidR="00CF37E1" w:rsidRPr="00FA586E">
        <w:rPr>
          <w:rFonts w:ascii="Arial" w:hAnsi="Arial" w:cs="Arial"/>
          <w:b/>
          <w:sz w:val="24"/>
        </w:rPr>
        <w:t xml:space="preserve">and part time timetables </w:t>
      </w:r>
      <w:r w:rsidR="001F4573" w:rsidRPr="00FA586E">
        <w:rPr>
          <w:rFonts w:ascii="Arial" w:hAnsi="Arial" w:cs="Arial"/>
          <w:b/>
          <w:sz w:val="24"/>
        </w:rPr>
        <w:t xml:space="preserve">work? Are they </w:t>
      </w:r>
      <w:r w:rsidR="00DB58A6" w:rsidRPr="00FA586E">
        <w:rPr>
          <w:rFonts w:ascii="Arial" w:hAnsi="Arial" w:cs="Arial"/>
          <w:b/>
          <w:sz w:val="24"/>
        </w:rPr>
        <w:t xml:space="preserve">necessary to maintain standards of behaviour? </w:t>
      </w:r>
    </w:p>
    <w:p w:rsidR="00DB58A6" w:rsidRDefault="00DB58A6" w:rsidP="00DB58A6">
      <w:pPr>
        <w:rPr>
          <w:rFonts w:ascii="Arial" w:hAnsi="Arial" w:cs="Arial"/>
          <w:sz w:val="24"/>
        </w:rPr>
      </w:pPr>
    </w:p>
    <w:p w:rsidR="003E72FC" w:rsidRDefault="00DB58A6" w:rsidP="00DB58A6">
      <w:pPr>
        <w:pStyle w:val="ListParagraph"/>
        <w:numPr>
          <w:ilvl w:val="0"/>
          <w:numId w:val="26"/>
        </w:numPr>
        <w:ind w:left="426"/>
        <w:rPr>
          <w:rFonts w:ascii="Arial" w:hAnsi="Arial" w:cs="Arial"/>
          <w:sz w:val="24"/>
        </w:rPr>
      </w:pPr>
      <w:r w:rsidRPr="0048076C">
        <w:rPr>
          <w:rFonts w:ascii="Arial" w:hAnsi="Arial" w:cs="Arial"/>
          <w:sz w:val="24"/>
        </w:rPr>
        <w:t>Fixed term exclusion, now</w:t>
      </w:r>
      <w:r w:rsidR="00B55F87">
        <w:rPr>
          <w:rFonts w:ascii="Arial" w:hAnsi="Arial" w:cs="Arial"/>
          <w:sz w:val="24"/>
        </w:rPr>
        <w:t xml:space="preserve"> to be renamed suspension, works</w:t>
      </w:r>
      <w:r w:rsidRPr="0048076C">
        <w:rPr>
          <w:rFonts w:ascii="Arial" w:hAnsi="Arial" w:cs="Arial"/>
          <w:sz w:val="24"/>
        </w:rPr>
        <w:t xml:space="preserve"> first time round for some children. For the majority of children who experience more than one exclusion, </w:t>
      </w:r>
      <w:r w:rsidR="00B55F87">
        <w:rPr>
          <w:rFonts w:ascii="Arial" w:hAnsi="Arial" w:cs="Arial"/>
          <w:sz w:val="24"/>
        </w:rPr>
        <w:t xml:space="preserve">however, </w:t>
      </w:r>
      <w:r w:rsidRPr="0048076C">
        <w:rPr>
          <w:rFonts w:ascii="Arial" w:hAnsi="Arial" w:cs="Arial"/>
          <w:sz w:val="24"/>
        </w:rPr>
        <w:t xml:space="preserve">it quickly ceases to act as a deterrent to poor behaviour. Instead it becomes normalised by children as something they come to expect, and contributes to a vicious cycle of low self-esteem and expectations. For teachers who suffer from the impact of poor behaviour and lack of respect, the temporary exclusion of a child demonstrates that school leaders acknowledge that impact and also provides them with a short period of respite. It is also sometimes seen as the only equitable way to maintain clear, consistent expectations of good behaviour. The price paid by </w:t>
      </w:r>
      <w:r w:rsidR="00B55F87">
        <w:rPr>
          <w:rFonts w:ascii="Arial" w:hAnsi="Arial" w:cs="Arial"/>
          <w:sz w:val="24"/>
        </w:rPr>
        <w:t xml:space="preserve">a minority of </w:t>
      </w:r>
      <w:r w:rsidRPr="0048076C">
        <w:rPr>
          <w:rFonts w:ascii="Arial" w:hAnsi="Arial" w:cs="Arial"/>
          <w:sz w:val="24"/>
        </w:rPr>
        <w:t xml:space="preserve">children for this approach is very high, however. There is moreover no evidence that the threat of exclusion is what keeps the behaviour of other children good. </w:t>
      </w:r>
    </w:p>
    <w:p w:rsidR="003E72FC" w:rsidRPr="003E72FC" w:rsidRDefault="003E72FC" w:rsidP="003E72FC">
      <w:pPr>
        <w:pStyle w:val="ListParagraph"/>
        <w:rPr>
          <w:rFonts w:ascii="Arial" w:hAnsi="Arial" w:cs="Arial"/>
          <w:sz w:val="24"/>
        </w:rPr>
      </w:pPr>
    </w:p>
    <w:p w:rsidR="00DB58A6" w:rsidRPr="00FA586E" w:rsidRDefault="00D022FC" w:rsidP="003E72FC">
      <w:pPr>
        <w:pStyle w:val="ListParagraph"/>
        <w:ind w:left="426"/>
        <w:rPr>
          <w:rFonts w:ascii="Arial" w:hAnsi="Arial" w:cs="Arial"/>
          <w:b/>
          <w:sz w:val="24"/>
        </w:rPr>
      </w:pPr>
      <w:r w:rsidRPr="00FA586E">
        <w:rPr>
          <w:rFonts w:ascii="Arial" w:hAnsi="Arial" w:cs="Arial"/>
          <w:b/>
          <w:sz w:val="24"/>
        </w:rPr>
        <w:t xml:space="preserve">So how can we best promote increased attendance and good behaviour? </w:t>
      </w:r>
    </w:p>
    <w:p w:rsidR="00DB58A6" w:rsidRDefault="00DB58A6" w:rsidP="00403AD4">
      <w:pPr>
        <w:rPr>
          <w:rFonts w:ascii="Arial" w:hAnsi="Arial" w:cs="Arial"/>
          <w:sz w:val="24"/>
        </w:rPr>
      </w:pPr>
    </w:p>
    <w:p w:rsidR="00B55F87" w:rsidRDefault="0000094D" w:rsidP="003E72FC">
      <w:pPr>
        <w:pStyle w:val="ListParagraph"/>
        <w:numPr>
          <w:ilvl w:val="0"/>
          <w:numId w:val="26"/>
        </w:numPr>
        <w:ind w:left="426"/>
        <w:rPr>
          <w:rFonts w:ascii="Arial" w:hAnsi="Arial" w:cs="Arial"/>
          <w:sz w:val="24"/>
        </w:rPr>
      </w:pPr>
      <w:r w:rsidRPr="00C85943">
        <w:rPr>
          <w:rFonts w:ascii="Arial" w:hAnsi="Arial" w:cs="Arial"/>
          <w:sz w:val="24"/>
        </w:rPr>
        <w:t xml:space="preserve">We believe that </w:t>
      </w:r>
      <w:r w:rsidR="00B55F87" w:rsidRPr="00C85943">
        <w:rPr>
          <w:rFonts w:ascii="Arial" w:hAnsi="Arial" w:cs="Arial"/>
          <w:sz w:val="24"/>
        </w:rPr>
        <w:t xml:space="preserve">there are a number of </w:t>
      </w:r>
      <w:r w:rsidR="00B55F87" w:rsidRPr="00B26D15">
        <w:rPr>
          <w:rFonts w:ascii="Arial" w:hAnsi="Arial" w:cs="Arial"/>
          <w:b/>
          <w:sz w:val="24"/>
        </w:rPr>
        <w:t>positive success factors</w:t>
      </w:r>
      <w:r w:rsidR="00B55F87" w:rsidRPr="00C85943">
        <w:rPr>
          <w:rFonts w:ascii="Arial" w:hAnsi="Arial" w:cs="Arial"/>
          <w:sz w:val="24"/>
        </w:rPr>
        <w:t xml:space="preserve"> which it is realistic for us as a Partnership to achieve, working together.</w:t>
      </w:r>
      <w:r w:rsidR="001A4DB6" w:rsidRPr="00C85943">
        <w:rPr>
          <w:rFonts w:ascii="Arial" w:hAnsi="Arial" w:cs="Arial"/>
          <w:sz w:val="24"/>
        </w:rPr>
        <w:t xml:space="preserve"> These are set out below as a</w:t>
      </w:r>
      <w:r w:rsidR="00A404D1" w:rsidRPr="00C85943">
        <w:rPr>
          <w:rFonts w:ascii="Arial" w:hAnsi="Arial" w:cs="Arial"/>
          <w:sz w:val="24"/>
        </w:rPr>
        <w:t>n initial</w:t>
      </w:r>
      <w:r w:rsidR="001A4DB6" w:rsidRPr="00C85943">
        <w:rPr>
          <w:rFonts w:ascii="Arial" w:hAnsi="Arial" w:cs="Arial"/>
          <w:sz w:val="24"/>
        </w:rPr>
        <w:t xml:space="preserve"> proposed programme,</w:t>
      </w:r>
      <w:r w:rsidR="00B55F87" w:rsidRPr="00C85943">
        <w:rPr>
          <w:rFonts w:ascii="Arial" w:hAnsi="Arial" w:cs="Arial"/>
          <w:sz w:val="24"/>
        </w:rPr>
        <w:t xml:space="preserve"> as a basis for discussion with Board members. </w:t>
      </w:r>
      <w:r w:rsidR="00C85943" w:rsidRPr="00C85943">
        <w:rPr>
          <w:rFonts w:ascii="Arial" w:hAnsi="Arial" w:cs="Arial"/>
          <w:sz w:val="24"/>
        </w:rPr>
        <w:t xml:space="preserve">They may seem obvious and we know they reflect many existing aspirations in schools, but </w:t>
      </w:r>
      <w:r w:rsidR="00C85943">
        <w:rPr>
          <w:rFonts w:ascii="Arial" w:hAnsi="Arial" w:cs="Arial"/>
          <w:sz w:val="24"/>
        </w:rPr>
        <w:t>we believe they are worth stating a</w:t>
      </w:r>
      <w:r w:rsidR="00CF37E1">
        <w:rPr>
          <w:rFonts w:ascii="Arial" w:hAnsi="Arial" w:cs="Arial"/>
          <w:sz w:val="24"/>
        </w:rPr>
        <w:t>nd discussing, particularly (d</w:t>
      </w:r>
      <w:r w:rsidR="00C85943">
        <w:rPr>
          <w:rFonts w:ascii="Arial" w:hAnsi="Arial" w:cs="Arial"/>
          <w:sz w:val="24"/>
        </w:rPr>
        <w:t xml:space="preserve">) below which is challenging to implement well. </w:t>
      </w:r>
    </w:p>
    <w:p w:rsidR="00C85943" w:rsidRPr="00C85943" w:rsidRDefault="00C85943" w:rsidP="0048076C">
      <w:pPr>
        <w:pStyle w:val="ListParagraph"/>
        <w:rPr>
          <w:rFonts w:ascii="Arial" w:hAnsi="Arial" w:cs="Arial"/>
          <w:sz w:val="24"/>
        </w:rPr>
      </w:pPr>
    </w:p>
    <w:p w:rsidR="003834D8" w:rsidRDefault="003834D8" w:rsidP="003E72FC">
      <w:pPr>
        <w:pStyle w:val="ListParagraph"/>
        <w:numPr>
          <w:ilvl w:val="0"/>
          <w:numId w:val="31"/>
        </w:numPr>
        <w:ind w:left="851" w:hanging="425"/>
        <w:rPr>
          <w:rFonts w:ascii="Arial" w:hAnsi="Arial" w:cs="Arial"/>
          <w:sz w:val="24"/>
        </w:rPr>
      </w:pPr>
      <w:r w:rsidRPr="00935854">
        <w:rPr>
          <w:rFonts w:ascii="Arial" w:hAnsi="Arial" w:cs="Arial"/>
          <w:b/>
          <w:sz w:val="24"/>
        </w:rPr>
        <w:t>High quality external challenge and support for families who need it</w:t>
      </w:r>
      <w:r>
        <w:rPr>
          <w:rFonts w:ascii="Arial" w:hAnsi="Arial" w:cs="Arial"/>
          <w:sz w:val="24"/>
        </w:rPr>
        <w:t xml:space="preserve"> by services beyond school which work hand in hand with schools, and which champion strongly the importance for children of full attendance and positive participation in school life. </w:t>
      </w:r>
      <w:r w:rsidR="00B55F87" w:rsidRPr="0048076C">
        <w:rPr>
          <w:rFonts w:ascii="Arial" w:hAnsi="Arial" w:cs="Arial"/>
          <w:sz w:val="24"/>
        </w:rPr>
        <w:t xml:space="preserve"> </w:t>
      </w:r>
      <w:r>
        <w:rPr>
          <w:rFonts w:ascii="Arial" w:hAnsi="Arial" w:cs="Arial"/>
          <w:sz w:val="24"/>
        </w:rPr>
        <w:t xml:space="preserve">PCC is committed to continuous improvement in its </w:t>
      </w:r>
      <w:r w:rsidR="00D022FC">
        <w:rPr>
          <w:rFonts w:ascii="Arial" w:hAnsi="Arial" w:cs="Arial"/>
          <w:sz w:val="24"/>
        </w:rPr>
        <w:t xml:space="preserve">targeted </w:t>
      </w:r>
      <w:r>
        <w:rPr>
          <w:rFonts w:ascii="Arial" w:hAnsi="Arial" w:cs="Arial"/>
          <w:sz w:val="24"/>
        </w:rPr>
        <w:t xml:space="preserve">tier 3 and 4 services for families: we aim to be judged "Outstanding" by Ofsted and a key part of the high quality we aim for is the best possible joint work with schools to support attendance and good behaviour by children. We want to hear from schools when we fall short in our aspiration. We recognise that there will probably always be a feeling in schools that more of this support is needed than we are able to provide. Investment by PCC has been consistent over recent years, however, with a cross party commitment to continue to invest in targeted early help as well as statutory social care. </w:t>
      </w:r>
      <w:r w:rsidR="00D022FC">
        <w:rPr>
          <w:rFonts w:ascii="Arial" w:hAnsi="Arial" w:cs="Arial"/>
          <w:sz w:val="24"/>
        </w:rPr>
        <w:t xml:space="preserve">Ofsted judge the quality of our support to be "Good" and peer scrutiny continues to be positive. With continuing feedback from schools we should be able to build on this foundation to keep improving the contribution which these services can make. </w:t>
      </w:r>
    </w:p>
    <w:p w:rsidR="00CF37E1" w:rsidRDefault="00CF37E1" w:rsidP="00CF37E1">
      <w:pPr>
        <w:pStyle w:val="ListParagraph"/>
        <w:ind w:left="851"/>
        <w:rPr>
          <w:rFonts w:ascii="Arial" w:hAnsi="Arial" w:cs="Arial"/>
          <w:sz w:val="24"/>
        </w:rPr>
      </w:pPr>
    </w:p>
    <w:p w:rsidR="00CF37E1" w:rsidRDefault="00CF37E1" w:rsidP="003E72FC">
      <w:pPr>
        <w:pStyle w:val="ListParagraph"/>
        <w:numPr>
          <w:ilvl w:val="0"/>
          <w:numId w:val="31"/>
        </w:numPr>
        <w:ind w:left="851" w:hanging="425"/>
        <w:rPr>
          <w:rFonts w:ascii="Arial" w:hAnsi="Arial" w:cs="Arial"/>
          <w:sz w:val="24"/>
        </w:rPr>
      </w:pPr>
      <w:r w:rsidRPr="00935854">
        <w:rPr>
          <w:rFonts w:ascii="Arial" w:hAnsi="Arial" w:cs="Arial"/>
          <w:b/>
          <w:sz w:val="24"/>
        </w:rPr>
        <w:t>A consistent approach to championing school attendance by all agencies</w:t>
      </w:r>
      <w:r>
        <w:rPr>
          <w:rFonts w:ascii="Arial" w:hAnsi="Arial" w:cs="Arial"/>
          <w:sz w:val="24"/>
        </w:rPr>
        <w:t xml:space="preserve"> including the NHS. We and NHS partners are also committed to maintaining strong health visiting, school nursing and other NHS services which support families' understanding of the importance of education. Services which are not supportive, for example GPs who do not sufficiently challenge negligent behaviour by families, will be robustly challenged by PCC through our strong partnership networks and by colleagues in other parts of the NHS, particularly local commissioners of GPs. </w:t>
      </w:r>
    </w:p>
    <w:p w:rsidR="00D022FC" w:rsidRDefault="00D022FC" w:rsidP="003E72FC">
      <w:pPr>
        <w:pStyle w:val="ListParagraph"/>
        <w:ind w:left="851" w:hanging="425"/>
        <w:rPr>
          <w:rFonts w:ascii="Arial" w:hAnsi="Arial" w:cs="Arial"/>
          <w:sz w:val="24"/>
        </w:rPr>
      </w:pPr>
    </w:p>
    <w:p w:rsidR="00D022FC" w:rsidRDefault="001A4DB6" w:rsidP="003E72FC">
      <w:pPr>
        <w:pStyle w:val="ListParagraph"/>
        <w:numPr>
          <w:ilvl w:val="0"/>
          <w:numId w:val="31"/>
        </w:numPr>
        <w:ind w:left="851" w:hanging="425"/>
        <w:rPr>
          <w:rFonts w:ascii="Arial" w:hAnsi="Arial" w:cs="Arial"/>
          <w:sz w:val="24"/>
        </w:rPr>
      </w:pPr>
      <w:r w:rsidRPr="00935854">
        <w:rPr>
          <w:rFonts w:ascii="Arial" w:hAnsi="Arial" w:cs="Arial"/>
          <w:b/>
          <w:sz w:val="24"/>
        </w:rPr>
        <w:t>High quality early help support and challenge for vulnerable families by pastoral teams in schools</w:t>
      </w:r>
      <w:r>
        <w:rPr>
          <w:rFonts w:ascii="Arial" w:hAnsi="Arial" w:cs="Arial"/>
          <w:sz w:val="24"/>
        </w:rPr>
        <w:t xml:space="preserve">, using the Early Help Assessment planning tool.  Across the country, schools provide early intervention support and challenge for families and Portsmouth schools are no exception. We know that pastoral capacity is stretched. We also know that the right conversation with a family, at the right time, including connecting families with other support in the city such as VCS organisations, housing and welfare support, can make a real difference. Workshops this term with schools colleagues are providing an opportunity to explore the art of the possible and most effective approaches. </w:t>
      </w:r>
    </w:p>
    <w:p w:rsidR="001A4DB6" w:rsidRPr="0048076C" w:rsidRDefault="001A4DB6" w:rsidP="003E72FC">
      <w:pPr>
        <w:pStyle w:val="ListParagraph"/>
        <w:ind w:left="851" w:hanging="425"/>
        <w:rPr>
          <w:rFonts w:ascii="Arial" w:hAnsi="Arial" w:cs="Arial"/>
          <w:sz w:val="24"/>
        </w:rPr>
      </w:pPr>
    </w:p>
    <w:p w:rsidR="001F4573" w:rsidRDefault="008C5ED0" w:rsidP="003E72FC">
      <w:pPr>
        <w:pStyle w:val="ListParagraph"/>
        <w:numPr>
          <w:ilvl w:val="0"/>
          <w:numId w:val="31"/>
        </w:numPr>
        <w:ind w:left="851" w:hanging="425"/>
        <w:rPr>
          <w:rFonts w:ascii="Arial" w:hAnsi="Arial" w:cs="Arial"/>
          <w:sz w:val="24"/>
        </w:rPr>
      </w:pPr>
      <w:r w:rsidRPr="00935854">
        <w:rPr>
          <w:rFonts w:ascii="Arial" w:hAnsi="Arial" w:cs="Arial"/>
          <w:b/>
          <w:sz w:val="24"/>
        </w:rPr>
        <w:t xml:space="preserve">A consistent city-wide </w:t>
      </w:r>
      <w:r w:rsidR="00DB58A6" w:rsidRPr="00935854">
        <w:rPr>
          <w:rFonts w:ascii="Arial" w:hAnsi="Arial" w:cs="Arial"/>
          <w:b/>
          <w:sz w:val="24"/>
        </w:rPr>
        <w:t>culture</w:t>
      </w:r>
      <w:r w:rsidR="0000094D" w:rsidRPr="00935854">
        <w:rPr>
          <w:rFonts w:ascii="Arial" w:hAnsi="Arial" w:cs="Arial"/>
          <w:b/>
          <w:sz w:val="24"/>
        </w:rPr>
        <w:t xml:space="preserve"> </w:t>
      </w:r>
      <w:r w:rsidRPr="00935854">
        <w:rPr>
          <w:rFonts w:ascii="Arial" w:hAnsi="Arial" w:cs="Arial"/>
          <w:b/>
          <w:sz w:val="24"/>
        </w:rPr>
        <w:t xml:space="preserve">in schools </w:t>
      </w:r>
      <w:r w:rsidR="00DB58A6" w:rsidRPr="00935854">
        <w:rPr>
          <w:rFonts w:ascii="Arial" w:hAnsi="Arial" w:cs="Arial"/>
          <w:b/>
          <w:sz w:val="24"/>
        </w:rPr>
        <w:t xml:space="preserve">of high expectations </w:t>
      </w:r>
      <w:r w:rsidR="0000094D" w:rsidRPr="00935854">
        <w:rPr>
          <w:rFonts w:ascii="Arial" w:hAnsi="Arial" w:cs="Arial"/>
          <w:b/>
          <w:sz w:val="24"/>
        </w:rPr>
        <w:t xml:space="preserve">for </w:t>
      </w:r>
      <w:r w:rsidR="00DB58A6" w:rsidRPr="00935854">
        <w:rPr>
          <w:rFonts w:ascii="Arial" w:hAnsi="Arial" w:cs="Arial"/>
          <w:b/>
          <w:sz w:val="24"/>
        </w:rPr>
        <w:t>all</w:t>
      </w:r>
      <w:r w:rsidR="0000094D" w:rsidRPr="0048076C">
        <w:rPr>
          <w:rFonts w:ascii="Arial" w:hAnsi="Arial" w:cs="Arial"/>
          <w:sz w:val="24"/>
        </w:rPr>
        <w:t xml:space="preserve">, in which all children feel both challenged </w:t>
      </w:r>
      <w:r w:rsidRPr="008C5ED0">
        <w:rPr>
          <w:rFonts w:ascii="Arial" w:hAnsi="Arial" w:cs="Arial"/>
          <w:sz w:val="24"/>
        </w:rPr>
        <w:t>and supported to meet those expectations</w:t>
      </w:r>
      <w:r w:rsidR="001F4573" w:rsidRPr="0048076C">
        <w:rPr>
          <w:rFonts w:ascii="Arial" w:hAnsi="Arial" w:cs="Arial"/>
          <w:sz w:val="24"/>
        </w:rPr>
        <w:t xml:space="preserve"> and where all children know that they belong.</w:t>
      </w:r>
      <w:r w:rsidRPr="008C5ED0">
        <w:rPr>
          <w:rFonts w:ascii="Arial" w:hAnsi="Arial" w:cs="Arial"/>
          <w:sz w:val="24"/>
        </w:rPr>
        <w:t xml:space="preserve"> Developing and maintaining an effective restorative culture in schools </w:t>
      </w:r>
      <w:r>
        <w:rPr>
          <w:rFonts w:ascii="Arial" w:hAnsi="Arial" w:cs="Arial"/>
          <w:sz w:val="24"/>
        </w:rPr>
        <w:t xml:space="preserve">with high behaviour expectations </w:t>
      </w:r>
      <w:r w:rsidRPr="008C5ED0">
        <w:rPr>
          <w:rFonts w:ascii="Arial" w:hAnsi="Arial" w:cs="Arial"/>
          <w:sz w:val="24"/>
        </w:rPr>
        <w:t>is not a "soft app</w:t>
      </w:r>
      <w:r w:rsidR="00A404D1">
        <w:rPr>
          <w:rFonts w:ascii="Arial" w:hAnsi="Arial" w:cs="Arial"/>
          <w:sz w:val="24"/>
        </w:rPr>
        <w:t xml:space="preserve">roach to discipline". It is very </w:t>
      </w:r>
      <w:r w:rsidRPr="008C5ED0">
        <w:rPr>
          <w:rFonts w:ascii="Arial" w:hAnsi="Arial" w:cs="Arial"/>
          <w:sz w:val="24"/>
        </w:rPr>
        <w:t>challenging for both children and adults</w:t>
      </w:r>
      <w:r w:rsidR="00A404D1">
        <w:rPr>
          <w:rFonts w:ascii="Arial" w:hAnsi="Arial" w:cs="Arial"/>
          <w:sz w:val="24"/>
        </w:rPr>
        <w:t xml:space="preserve">. </w:t>
      </w:r>
      <w:r>
        <w:rPr>
          <w:rFonts w:ascii="Arial" w:hAnsi="Arial" w:cs="Arial"/>
          <w:sz w:val="24"/>
        </w:rPr>
        <w:t>We know from examples both elsewhere in the country and in Portsmouth</w:t>
      </w:r>
      <w:r w:rsidR="00A404D1">
        <w:rPr>
          <w:rFonts w:ascii="Arial" w:hAnsi="Arial" w:cs="Arial"/>
          <w:sz w:val="24"/>
        </w:rPr>
        <w:t>, however,</w:t>
      </w:r>
      <w:r>
        <w:rPr>
          <w:rFonts w:ascii="Arial" w:hAnsi="Arial" w:cs="Arial"/>
          <w:sz w:val="24"/>
        </w:rPr>
        <w:t xml:space="preserve"> that such a culture can be created and maintained</w:t>
      </w:r>
      <w:r w:rsidR="00A404D1">
        <w:rPr>
          <w:rFonts w:ascii="Arial" w:hAnsi="Arial" w:cs="Arial"/>
          <w:sz w:val="24"/>
        </w:rPr>
        <w:t xml:space="preserve">. Consistently championed </w:t>
      </w:r>
      <w:r>
        <w:rPr>
          <w:rFonts w:ascii="Arial" w:hAnsi="Arial" w:cs="Arial"/>
          <w:sz w:val="24"/>
        </w:rPr>
        <w:t xml:space="preserve">it could reduce significantly the school absence, voluntary and enforced, which blights the lives of too many children in our city. </w:t>
      </w:r>
    </w:p>
    <w:p w:rsidR="0000094D" w:rsidRPr="008C5ED0" w:rsidRDefault="0000094D" w:rsidP="003E72FC">
      <w:pPr>
        <w:ind w:left="851" w:hanging="425"/>
        <w:rPr>
          <w:rFonts w:ascii="Arial" w:hAnsi="Arial" w:cs="Arial"/>
          <w:sz w:val="24"/>
        </w:rPr>
      </w:pPr>
    </w:p>
    <w:p w:rsidR="00DB58A6" w:rsidRDefault="008C5ED0" w:rsidP="003E72FC">
      <w:pPr>
        <w:pStyle w:val="ListParagraph"/>
        <w:numPr>
          <w:ilvl w:val="0"/>
          <w:numId w:val="31"/>
        </w:numPr>
        <w:ind w:left="851" w:hanging="425"/>
        <w:rPr>
          <w:rFonts w:ascii="Arial" w:hAnsi="Arial" w:cs="Arial"/>
          <w:sz w:val="24"/>
        </w:rPr>
      </w:pPr>
      <w:r w:rsidRPr="00935854">
        <w:rPr>
          <w:rFonts w:ascii="Arial" w:hAnsi="Arial" w:cs="Arial"/>
          <w:b/>
          <w:sz w:val="24"/>
        </w:rPr>
        <w:t xml:space="preserve">High quality, </w:t>
      </w:r>
      <w:r w:rsidR="00036D4F" w:rsidRPr="00935854">
        <w:rPr>
          <w:rFonts w:ascii="Arial" w:hAnsi="Arial" w:cs="Arial"/>
          <w:b/>
          <w:sz w:val="24"/>
        </w:rPr>
        <w:t>effective</w:t>
      </w:r>
      <w:r w:rsidR="00DB58A6" w:rsidRPr="00935854">
        <w:rPr>
          <w:rFonts w:ascii="Arial" w:hAnsi="Arial" w:cs="Arial"/>
          <w:b/>
          <w:sz w:val="24"/>
        </w:rPr>
        <w:t xml:space="preserve"> teaching </w:t>
      </w:r>
      <w:r w:rsidRPr="00935854">
        <w:rPr>
          <w:rFonts w:ascii="Arial" w:hAnsi="Arial" w:cs="Arial"/>
          <w:b/>
          <w:sz w:val="24"/>
        </w:rPr>
        <w:t xml:space="preserve">of an appropriate </w:t>
      </w:r>
      <w:r w:rsidR="00036D4F" w:rsidRPr="00935854">
        <w:rPr>
          <w:rFonts w:ascii="Arial" w:hAnsi="Arial" w:cs="Arial"/>
          <w:b/>
          <w:sz w:val="24"/>
        </w:rPr>
        <w:t xml:space="preserve">and ambitious </w:t>
      </w:r>
      <w:r w:rsidRPr="00935854">
        <w:rPr>
          <w:rFonts w:ascii="Arial" w:hAnsi="Arial" w:cs="Arial"/>
          <w:b/>
          <w:sz w:val="24"/>
        </w:rPr>
        <w:t>curriculum</w:t>
      </w:r>
      <w:r w:rsidR="00A404D1">
        <w:rPr>
          <w:rFonts w:ascii="Arial" w:hAnsi="Arial" w:cs="Arial"/>
          <w:sz w:val="24"/>
        </w:rPr>
        <w:t xml:space="preserve">. </w:t>
      </w:r>
      <w:r w:rsidR="000E6476">
        <w:rPr>
          <w:rFonts w:ascii="Arial" w:hAnsi="Arial" w:cs="Arial"/>
          <w:sz w:val="24"/>
        </w:rPr>
        <w:t xml:space="preserve">Planning to teach the knowledge and cultural capital that our children need in order to access and understand the curriculum is vital to enable them to engage with education and go on to thrive in later life.  </w:t>
      </w:r>
      <w:r w:rsidR="00A404D1">
        <w:rPr>
          <w:rFonts w:ascii="Arial" w:hAnsi="Arial" w:cs="Arial"/>
          <w:sz w:val="24"/>
        </w:rPr>
        <w:t>We know that this is already the key aim of all schools in the city</w:t>
      </w:r>
      <w:r w:rsidR="000E6476">
        <w:rPr>
          <w:rFonts w:ascii="Arial" w:hAnsi="Arial" w:cs="Arial"/>
          <w:sz w:val="24"/>
        </w:rPr>
        <w:t>, as is the identification of barriers that some children face in school and within each subject discipline</w:t>
      </w:r>
      <w:r w:rsidR="00A404D1">
        <w:rPr>
          <w:rFonts w:ascii="Arial" w:hAnsi="Arial" w:cs="Arial"/>
          <w:sz w:val="24"/>
        </w:rPr>
        <w:t xml:space="preserve">. It is important to underline its importance, however, in increasing attendance and reducing exclusion. </w:t>
      </w:r>
    </w:p>
    <w:p w:rsidR="008C5ED0" w:rsidRPr="0048076C" w:rsidRDefault="008C5ED0" w:rsidP="003E72FC">
      <w:pPr>
        <w:pStyle w:val="ListParagraph"/>
        <w:ind w:left="851" w:hanging="425"/>
        <w:rPr>
          <w:rFonts w:ascii="Arial" w:hAnsi="Arial" w:cs="Arial"/>
          <w:sz w:val="24"/>
        </w:rPr>
      </w:pPr>
    </w:p>
    <w:p w:rsidR="008C5ED0" w:rsidRPr="0048076C" w:rsidRDefault="008C5ED0" w:rsidP="003E72FC">
      <w:pPr>
        <w:pStyle w:val="ListParagraph"/>
        <w:numPr>
          <w:ilvl w:val="0"/>
          <w:numId w:val="31"/>
        </w:numPr>
        <w:ind w:left="851" w:hanging="425"/>
        <w:rPr>
          <w:rFonts w:ascii="Arial" w:hAnsi="Arial" w:cs="Arial"/>
          <w:b/>
          <w:sz w:val="24"/>
        </w:rPr>
      </w:pPr>
      <w:r w:rsidRPr="00935854">
        <w:rPr>
          <w:rFonts w:ascii="Arial" w:hAnsi="Arial" w:cs="Arial"/>
          <w:b/>
          <w:sz w:val="24"/>
        </w:rPr>
        <w:t>A rich extra-curricular offer</w:t>
      </w:r>
      <w:r w:rsidR="00A404D1" w:rsidRPr="00935854">
        <w:rPr>
          <w:rFonts w:ascii="Arial" w:hAnsi="Arial" w:cs="Arial"/>
          <w:b/>
          <w:sz w:val="24"/>
        </w:rPr>
        <w:t>,</w:t>
      </w:r>
      <w:r w:rsidRPr="00935854">
        <w:rPr>
          <w:rFonts w:ascii="Arial" w:hAnsi="Arial" w:cs="Arial"/>
          <w:b/>
          <w:sz w:val="24"/>
        </w:rPr>
        <w:t xml:space="preserve"> and expectation</w:t>
      </w:r>
      <w:r w:rsidR="00A404D1" w:rsidRPr="00935854">
        <w:rPr>
          <w:rFonts w:ascii="Arial" w:hAnsi="Arial" w:cs="Arial"/>
          <w:b/>
          <w:sz w:val="24"/>
        </w:rPr>
        <w:t>,</w:t>
      </w:r>
      <w:r w:rsidRPr="00935854">
        <w:rPr>
          <w:rFonts w:ascii="Arial" w:hAnsi="Arial" w:cs="Arial"/>
          <w:b/>
          <w:sz w:val="24"/>
        </w:rPr>
        <w:t xml:space="preserve"> for all children</w:t>
      </w:r>
      <w:r w:rsidR="00A404D1">
        <w:rPr>
          <w:rFonts w:ascii="Arial" w:hAnsi="Arial" w:cs="Arial"/>
          <w:sz w:val="24"/>
        </w:rPr>
        <w:t xml:space="preserve">. Many children in Portsmouth take full advantage of the enrichment opportunities schools offer, in sport, arts or other interest areas. The lengthening of the school day proposed by the Government is an opportunity to explore how </w:t>
      </w:r>
      <w:r w:rsidR="00A404D1" w:rsidRPr="0048076C">
        <w:rPr>
          <w:rFonts w:ascii="Arial" w:hAnsi="Arial" w:cs="Arial"/>
          <w:b/>
          <w:sz w:val="24"/>
        </w:rPr>
        <w:t xml:space="preserve">all </w:t>
      </w:r>
      <w:r w:rsidR="00A404D1">
        <w:rPr>
          <w:rFonts w:ascii="Arial" w:hAnsi="Arial" w:cs="Arial"/>
          <w:sz w:val="24"/>
        </w:rPr>
        <w:t xml:space="preserve">children might be helped to benefit. </w:t>
      </w:r>
      <w:r w:rsidR="00C85943">
        <w:rPr>
          <w:rFonts w:ascii="Arial" w:hAnsi="Arial" w:cs="Arial"/>
          <w:sz w:val="24"/>
        </w:rPr>
        <w:t xml:space="preserve">Children who look forward to doing things they love want to come to school and are motivated when they are there. </w:t>
      </w:r>
    </w:p>
    <w:p w:rsidR="00DB58A6" w:rsidRDefault="00DB58A6" w:rsidP="00403AD4">
      <w:pPr>
        <w:rPr>
          <w:rFonts w:ascii="Arial" w:hAnsi="Arial" w:cs="Arial"/>
          <w:sz w:val="24"/>
        </w:rPr>
      </w:pPr>
    </w:p>
    <w:p w:rsidR="00DB58A6" w:rsidRDefault="00DB58A6" w:rsidP="00403AD4">
      <w:pPr>
        <w:rPr>
          <w:rFonts w:ascii="Arial" w:hAnsi="Arial" w:cs="Arial"/>
          <w:sz w:val="24"/>
        </w:rPr>
      </w:pPr>
    </w:p>
    <w:p w:rsidR="00C27B2F" w:rsidRPr="0048076C" w:rsidRDefault="003D26B5" w:rsidP="00403AD4">
      <w:pPr>
        <w:rPr>
          <w:rFonts w:ascii="Arial" w:hAnsi="Arial" w:cs="Arial"/>
          <w:b/>
          <w:color w:val="2E74B5" w:themeColor="accent1" w:themeShade="BF"/>
          <w:sz w:val="28"/>
          <w:szCs w:val="28"/>
        </w:rPr>
      </w:pPr>
      <w:r w:rsidRPr="0048076C">
        <w:rPr>
          <w:rFonts w:ascii="Arial" w:hAnsi="Arial" w:cs="Arial"/>
          <w:b/>
          <w:color w:val="2E74B5" w:themeColor="accent1" w:themeShade="BF"/>
          <w:sz w:val="28"/>
          <w:szCs w:val="28"/>
        </w:rPr>
        <w:t>O</w:t>
      </w:r>
      <w:r w:rsidR="00C85943">
        <w:rPr>
          <w:rFonts w:ascii="Arial" w:hAnsi="Arial" w:cs="Arial"/>
          <w:b/>
          <w:color w:val="2E74B5" w:themeColor="accent1" w:themeShade="BF"/>
          <w:sz w:val="28"/>
          <w:szCs w:val="28"/>
        </w:rPr>
        <w:t xml:space="preserve">UR REQUEST: A SHARED MISSION </w:t>
      </w:r>
    </w:p>
    <w:p w:rsidR="00C27B2F" w:rsidRDefault="00C27B2F" w:rsidP="00403AD4">
      <w:pPr>
        <w:rPr>
          <w:rFonts w:ascii="Arial" w:hAnsi="Arial" w:cs="Arial"/>
          <w:sz w:val="24"/>
        </w:rPr>
      </w:pPr>
    </w:p>
    <w:p w:rsidR="003D26B5" w:rsidRDefault="00C27B2F" w:rsidP="003E72FC">
      <w:pPr>
        <w:pStyle w:val="ListParagraph"/>
        <w:numPr>
          <w:ilvl w:val="0"/>
          <w:numId w:val="26"/>
        </w:numPr>
        <w:ind w:left="426"/>
        <w:rPr>
          <w:rFonts w:ascii="Arial" w:hAnsi="Arial" w:cs="Arial"/>
          <w:sz w:val="24"/>
          <w:szCs w:val="24"/>
        </w:rPr>
      </w:pPr>
      <w:r w:rsidRPr="0048076C">
        <w:rPr>
          <w:rFonts w:ascii="Arial" w:hAnsi="Arial" w:cs="Arial"/>
          <w:sz w:val="24"/>
          <w:szCs w:val="24"/>
        </w:rPr>
        <w:t xml:space="preserve">Back in the late 1990s, Portsmouth was the highest permanent excluding </w:t>
      </w:r>
      <w:r w:rsidR="00B26D15">
        <w:rPr>
          <w:rFonts w:ascii="Arial" w:hAnsi="Arial" w:cs="Arial"/>
          <w:sz w:val="24"/>
          <w:szCs w:val="24"/>
        </w:rPr>
        <w:t xml:space="preserve">(now referred to as expulsions) </w:t>
      </w:r>
      <w:r w:rsidRPr="0048076C">
        <w:rPr>
          <w:rFonts w:ascii="Arial" w:hAnsi="Arial" w:cs="Arial"/>
          <w:sz w:val="24"/>
          <w:szCs w:val="24"/>
        </w:rPr>
        <w:t>local authority in England</w:t>
      </w:r>
      <w:r w:rsidR="002E4B6C" w:rsidRPr="0048076C">
        <w:rPr>
          <w:rFonts w:ascii="Arial" w:hAnsi="Arial" w:cs="Arial"/>
          <w:sz w:val="24"/>
          <w:szCs w:val="24"/>
        </w:rPr>
        <w:t xml:space="preserve"> - 152</w:t>
      </w:r>
      <w:r w:rsidR="002E4B6C" w:rsidRPr="0048076C">
        <w:rPr>
          <w:rFonts w:ascii="Arial" w:hAnsi="Arial" w:cs="Arial"/>
          <w:sz w:val="24"/>
          <w:szCs w:val="24"/>
          <w:vertAlign w:val="superscript"/>
        </w:rPr>
        <w:t>nd</w:t>
      </w:r>
      <w:r w:rsidR="002E4B6C" w:rsidRPr="0048076C">
        <w:rPr>
          <w:rFonts w:ascii="Arial" w:hAnsi="Arial" w:cs="Arial"/>
          <w:sz w:val="24"/>
          <w:szCs w:val="24"/>
        </w:rPr>
        <w:t xml:space="preserve"> out of 152</w:t>
      </w:r>
      <w:r w:rsidRPr="0048076C">
        <w:rPr>
          <w:rFonts w:ascii="Arial" w:hAnsi="Arial" w:cs="Arial"/>
          <w:sz w:val="24"/>
          <w:szCs w:val="24"/>
        </w:rPr>
        <w:t xml:space="preserve">.  Within three years, we had moved to the top </w:t>
      </w:r>
      <w:r w:rsidR="002E4B6C" w:rsidRPr="0048076C">
        <w:rPr>
          <w:rFonts w:ascii="Arial" w:hAnsi="Arial" w:cs="Arial"/>
          <w:sz w:val="24"/>
          <w:szCs w:val="24"/>
        </w:rPr>
        <w:t>half of that table.  20 years later we remain in the top quartile.</w:t>
      </w:r>
      <w:r w:rsidR="004E37F2" w:rsidRPr="0048076C">
        <w:rPr>
          <w:rFonts w:ascii="Arial" w:hAnsi="Arial" w:cs="Arial"/>
          <w:sz w:val="24"/>
          <w:szCs w:val="24"/>
        </w:rPr>
        <w:t xml:space="preserve">  </w:t>
      </w:r>
      <w:r w:rsidR="00A404D1">
        <w:rPr>
          <w:rFonts w:ascii="Arial" w:hAnsi="Arial" w:cs="Arial"/>
          <w:sz w:val="24"/>
          <w:szCs w:val="24"/>
        </w:rPr>
        <w:t xml:space="preserve">We have also made </w:t>
      </w:r>
      <w:r w:rsidR="003D26B5">
        <w:rPr>
          <w:rFonts w:ascii="Arial" w:hAnsi="Arial" w:cs="Arial"/>
          <w:sz w:val="24"/>
          <w:szCs w:val="24"/>
        </w:rPr>
        <w:t xml:space="preserve">improvements in recent years in the levels of reduced timetables and elective home education. </w:t>
      </w:r>
    </w:p>
    <w:p w:rsidR="003D26B5" w:rsidRDefault="003D26B5" w:rsidP="003E72FC">
      <w:pPr>
        <w:pStyle w:val="ListParagraph"/>
        <w:ind w:left="426"/>
        <w:rPr>
          <w:rFonts w:ascii="Arial" w:hAnsi="Arial" w:cs="Arial"/>
          <w:sz w:val="24"/>
          <w:szCs w:val="24"/>
        </w:rPr>
      </w:pPr>
    </w:p>
    <w:p w:rsidR="008C4552" w:rsidRDefault="002D666A" w:rsidP="003E72FC">
      <w:pPr>
        <w:pStyle w:val="ListParagraph"/>
        <w:numPr>
          <w:ilvl w:val="0"/>
          <w:numId w:val="26"/>
        </w:numPr>
        <w:ind w:left="426"/>
        <w:rPr>
          <w:rFonts w:ascii="Arial" w:hAnsi="Arial" w:cs="Arial"/>
          <w:sz w:val="24"/>
        </w:rPr>
      </w:pPr>
      <w:r w:rsidRPr="0048076C">
        <w:rPr>
          <w:rFonts w:ascii="Arial" w:hAnsi="Arial" w:cs="Arial"/>
          <w:sz w:val="24"/>
        </w:rPr>
        <w:t>Whilst fixed term exclusions</w:t>
      </w:r>
      <w:r w:rsidR="00CF37E1">
        <w:rPr>
          <w:rFonts w:ascii="Arial" w:hAnsi="Arial" w:cs="Arial"/>
          <w:sz w:val="24"/>
        </w:rPr>
        <w:t>, part-time timetables</w:t>
      </w:r>
      <w:r w:rsidRPr="0048076C">
        <w:rPr>
          <w:rFonts w:ascii="Arial" w:hAnsi="Arial" w:cs="Arial"/>
          <w:sz w:val="24"/>
        </w:rPr>
        <w:t xml:space="preserve"> and absence are more complex issues, history does suggest that r</w:t>
      </w:r>
      <w:r w:rsidR="002E4B6C" w:rsidRPr="0048076C">
        <w:rPr>
          <w:rFonts w:ascii="Arial" w:hAnsi="Arial" w:cs="Arial"/>
          <w:sz w:val="24"/>
        </w:rPr>
        <w:t xml:space="preserve">adical improvement </w:t>
      </w:r>
      <w:r w:rsidRPr="0048076C">
        <w:rPr>
          <w:rFonts w:ascii="Arial" w:hAnsi="Arial" w:cs="Arial"/>
          <w:sz w:val="24"/>
        </w:rPr>
        <w:t xml:space="preserve">across the </w:t>
      </w:r>
      <w:r w:rsidR="004E37F2" w:rsidRPr="0048076C">
        <w:rPr>
          <w:rFonts w:ascii="Arial" w:hAnsi="Arial" w:cs="Arial"/>
          <w:sz w:val="24"/>
        </w:rPr>
        <w:t xml:space="preserve">public service delivery </w:t>
      </w:r>
      <w:r w:rsidRPr="0048076C">
        <w:rPr>
          <w:rFonts w:ascii="Arial" w:hAnsi="Arial" w:cs="Arial"/>
          <w:sz w:val="24"/>
        </w:rPr>
        <w:t xml:space="preserve">system </w:t>
      </w:r>
      <w:r w:rsidR="002E4B6C" w:rsidRPr="0048076C">
        <w:rPr>
          <w:rFonts w:ascii="Arial" w:hAnsi="Arial" w:cs="Arial"/>
          <w:sz w:val="24"/>
        </w:rPr>
        <w:t>can be done at pace and be sustained.</w:t>
      </w:r>
      <w:r w:rsidR="008C4552" w:rsidRPr="0048076C">
        <w:rPr>
          <w:rFonts w:ascii="Arial" w:hAnsi="Arial" w:cs="Arial"/>
          <w:sz w:val="24"/>
        </w:rPr>
        <w:t xml:space="preserve"> Our request and proposal is that under the auspices of the Portsmouth Education Partnership, and alongside partners in the police, NHS, parent representative bodies and the voluntary and community sector, we co-produce and jointly deliver a coherent, ambitious strategy to make a radical difference to levels of attendance and exclusions in the city. </w:t>
      </w:r>
      <w:r w:rsidR="008C4552">
        <w:rPr>
          <w:rFonts w:ascii="Arial" w:hAnsi="Arial" w:cs="Arial"/>
          <w:sz w:val="24"/>
        </w:rPr>
        <w:t>The success factors set out above reflect a view about some key elements, but we need to work</w:t>
      </w:r>
      <w:r w:rsidR="008C4552" w:rsidRPr="0048076C">
        <w:rPr>
          <w:rFonts w:ascii="Arial" w:hAnsi="Arial" w:cs="Arial"/>
          <w:sz w:val="24"/>
        </w:rPr>
        <w:t xml:space="preserve"> together on a shared mission - with across </w:t>
      </w:r>
      <w:r w:rsidR="008C4552" w:rsidRPr="008C4552">
        <w:rPr>
          <w:rFonts w:ascii="Arial" w:hAnsi="Arial" w:cs="Arial"/>
          <w:sz w:val="24"/>
        </w:rPr>
        <w:t>the board commitment - to make that</w:t>
      </w:r>
      <w:r w:rsidR="008C4552">
        <w:rPr>
          <w:rFonts w:ascii="Arial" w:hAnsi="Arial" w:cs="Arial"/>
          <w:sz w:val="24"/>
        </w:rPr>
        <w:t xml:space="preserve"> step change. </w:t>
      </w:r>
    </w:p>
    <w:p w:rsidR="008C4552" w:rsidRPr="0048076C" w:rsidRDefault="008C4552" w:rsidP="003E72FC">
      <w:pPr>
        <w:pStyle w:val="ListParagraph"/>
        <w:ind w:left="426"/>
        <w:rPr>
          <w:rFonts w:ascii="Arial" w:hAnsi="Arial" w:cs="Arial"/>
          <w:sz w:val="24"/>
        </w:rPr>
      </w:pPr>
    </w:p>
    <w:p w:rsidR="008C4552" w:rsidRPr="0048076C" w:rsidRDefault="008C4552" w:rsidP="003E72FC">
      <w:pPr>
        <w:pStyle w:val="ListParagraph"/>
        <w:numPr>
          <w:ilvl w:val="0"/>
          <w:numId w:val="26"/>
        </w:numPr>
        <w:ind w:left="426"/>
        <w:rPr>
          <w:rFonts w:ascii="Arial" w:hAnsi="Arial" w:cs="Arial"/>
          <w:sz w:val="24"/>
        </w:rPr>
      </w:pPr>
      <w:r w:rsidRPr="0048076C">
        <w:rPr>
          <w:rFonts w:ascii="Arial" w:hAnsi="Arial" w:cs="Arial"/>
          <w:sz w:val="24"/>
        </w:rPr>
        <w:t xml:space="preserve">To do this, we believe that we should hold ourselves and each other to account in a restorative and relational </w:t>
      </w:r>
      <w:r w:rsidRPr="0048076C">
        <w:rPr>
          <w:rFonts w:ascii="Arial" w:hAnsi="Arial" w:cs="Arial"/>
          <w:i/>
          <w:sz w:val="24"/>
        </w:rPr>
        <w:t xml:space="preserve">high support: high challenge </w:t>
      </w:r>
      <w:r w:rsidRPr="0048076C">
        <w:rPr>
          <w:rFonts w:ascii="Arial" w:hAnsi="Arial" w:cs="Arial"/>
          <w:sz w:val="24"/>
        </w:rPr>
        <w:t>way. We should be prepared to do things differently, change the structures of accountability and planning, be unafraid to learn from what works and doesn’t work locally, and be open to learning from other places and the evidence of what works nationally and internationally.  Equally, we must not throw everything away - the long list of initiatives set out in this paper includes some very good work, much of which has not had the chance fully to impact due to the pandemic.  The city has an abundance of good thinkers, good developments and good practice from which to build. We see this mission as a joint leadership challenge, led by the PEP, but involving everyone with a role to play.</w:t>
      </w:r>
    </w:p>
    <w:p w:rsidR="008C4552" w:rsidRPr="0048076C" w:rsidRDefault="008C4552" w:rsidP="0048076C">
      <w:pPr>
        <w:pStyle w:val="ListParagraph"/>
        <w:rPr>
          <w:rFonts w:ascii="Arial" w:hAnsi="Arial" w:cs="Arial"/>
          <w:sz w:val="24"/>
        </w:rPr>
      </w:pPr>
    </w:p>
    <w:p w:rsidR="008C4552" w:rsidRDefault="008C4552" w:rsidP="008C4552">
      <w:pPr>
        <w:rPr>
          <w:rFonts w:ascii="Arial" w:hAnsi="Arial" w:cs="Arial"/>
          <w:sz w:val="24"/>
        </w:rPr>
      </w:pPr>
    </w:p>
    <w:p w:rsidR="008C4552" w:rsidRPr="0048076C" w:rsidRDefault="008C4552" w:rsidP="0048076C">
      <w:pPr>
        <w:pStyle w:val="ListParagraph"/>
        <w:rPr>
          <w:rFonts w:ascii="Arial" w:hAnsi="Arial" w:cs="Arial"/>
          <w:sz w:val="24"/>
        </w:rPr>
      </w:pPr>
    </w:p>
    <w:p w:rsidR="008C4552" w:rsidRPr="0048076C" w:rsidRDefault="008C4552" w:rsidP="0048076C">
      <w:pPr>
        <w:pStyle w:val="ListParagraph"/>
        <w:rPr>
          <w:rFonts w:ascii="Arial" w:hAnsi="Arial" w:cs="Arial"/>
          <w:sz w:val="24"/>
        </w:rPr>
      </w:pPr>
    </w:p>
    <w:p w:rsidR="008C4552" w:rsidRDefault="008C4552" w:rsidP="008C4552">
      <w:pPr>
        <w:rPr>
          <w:rFonts w:ascii="Arial" w:hAnsi="Arial" w:cs="Arial"/>
          <w:sz w:val="24"/>
        </w:rPr>
      </w:pPr>
    </w:p>
    <w:p w:rsidR="00EB1929" w:rsidRPr="0048076C" w:rsidRDefault="00EB1929" w:rsidP="0048076C">
      <w:pPr>
        <w:pStyle w:val="ListParagraph"/>
        <w:rPr>
          <w:rFonts w:ascii="Arial" w:hAnsi="Arial" w:cs="Arial"/>
          <w:sz w:val="24"/>
          <w:szCs w:val="24"/>
        </w:rPr>
      </w:pPr>
    </w:p>
    <w:p w:rsidR="00EB1929" w:rsidRDefault="00EB1929" w:rsidP="00403AD4">
      <w:pPr>
        <w:rPr>
          <w:rFonts w:ascii="Arial" w:hAnsi="Arial" w:cs="Arial"/>
          <w:sz w:val="24"/>
        </w:rPr>
      </w:pPr>
    </w:p>
    <w:p w:rsidR="00DC0C0B" w:rsidRDefault="00DC0C0B" w:rsidP="00403AD4">
      <w:pPr>
        <w:rPr>
          <w:rFonts w:ascii="Arial" w:hAnsi="Arial" w:cs="Arial"/>
          <w:sz w:val="24"/>
        </w:rPr>
      </w:pPr>
    </w:p>
    <w:p w:rsidR="002D666A" w:rsidRDefault="002D666A" w:rsidP="00403AD4">
      <w:pPr>
        <w:rPr>
          <w:rFonts w:ascii="Arial" w:hAnsi="Arial" w:cs="Arial"/>
          <w:sz w:val="24"/>
        </w:rPr>
      </w:pPr>
    </w:p>
    <w:p w:rsidR="00DC0C0B" w:rsidRDefault="00DC0C0B" w:rsidP="00403AD4">
      <w:pPr>
        <w:rPr>
          <w:rFonts w:ascii="Arial" w:hAnsi="Arial" w:cs="Arial"/>
          <w:sz w:val="24"/>
        </w:rPr>
      </w:pPr>
    </w:p>
    <w:p w:rsidR="004060FA" w:rsidRDefault="004060FA" w:rsidP="00B7160A">
      <w:pPr>
        <w:rPr>
          <w:rFonts w:ascii="Arial" w:hAnsi="Arial" w:cs="Arial"/>
          <w:b/>
          <w:sz w:val="24"/>
        </w:rPr>
      </w:pPr>
    </w:p>
    <w:p w:rsidR="00B314BC" w:rsidRDefault="00D101DB" w:rsidP="00D101DB">
      <w:pPr>
        <w:spacing w:after="160" w:line="259" w:lineRule="auto"/>
        <w:ind w:left="142"/>
        <w:rPr>
          <w:rFonts w:ascii="Arial" w:hAnsi="Arial" w:cs="Arial"/>
          <w:b/>
          <w:sz w:val="24"/>
        </w:rPr>
      </w:pPr>
      <w:r>
        <w:rPr>
          <w:rFonts w:ascii="Arial" w:hAnsi="Arial" w:cs="Arial"/>
          <w:b/>
          <w:sz w:val="24"/>
        </w:rPr>
        <w:t>APPENDIX</w:t>
      </w:r>
      <w:r w:rsidR="004D16DC">
        <w:rPr>
          <w:rFonts w:ascii="Arial" w:hAnsi="Arial" w:cs="Arial"/>
          <w:b/>
          <w:sz w:val="24"/>
        </w:rPr>
        <w:t xml:space="preserve"> 1</w:t>
      </w:r>
      <w:r>
        <w:rPr>
          <w:rFonts w:ascii="Arial" w:hAnsi="Arial" w:cs="Arial"/>
          <w:b/>
          <w:sz w:val="24"/>
        </w:rPr>
        <w:t xml:space="preserve"> - A STRATEGIC FRAMEWORK</w:t>
      </w:r>
    </w:p>
    <w:p w:rsidR="00D101DB" w:rsidRPr="00D101DB" w:rsidRDefault="00D101DB" w:rsidP="00D101DB">
      <w:pPr>
        <w:spacing w:after="160" w:line="259" w:lineRule="auto"/>
        <w:ind w:left="142"/>
        <w:rPr>
          <w:rFonts w:ascii="Arial" w:hAnsi="Arial" w:cs="Arial"/>
          <w:b/>
          <w:sz w:val="24"/>
        </w:rPr>
      </w:pPr>
    </w:p>
    <w:p w:rsidR="00B314BC" w:rsidRDefault="00B314BC" w:rsidP="00B314BC">
      <w:pPr>
        <w:spacing w:line="259" w:lineRule="auto"/>
        <w:ind w:left="68"/>
        <w:rPr>
          <w:rFonts w:ascii="Arial" w:hAnsi="Arial" w:cs="Arial"/>
          <w:sz w:val="24"/>
        </w:rPr>
      </w:pPr>
      <w:r>
        <w:rPr>
          <w:rFonts w:ascii="Arial" w:hAnsi="Arial" w:cs="Arial"/>
          <w:sz w:val="24"/>
        </w:rPr>
        <w:t>The 'Tiered' Model below outlines a Strategic Framework to help us structure our current work and identify where we may need to invest additional time and resource.</w:t>
      </w:r>
    </w:p>
    <w:p w:rsidR="00B314BC" w:rsidRDefault="00B314BC" w:rsidP="00B314BC">
      <w:pPr>
        <w:spacing w:line="259" w:lineRule="auto"/>
        <w:ind w:left="68"/>
        <w:rPr>
          <w:rFonts w:ascii="Arial" w:hAnsi="Arial" w:cs="Arial"/>
          <w:sz w:val="24"/>
        </w:rPr>
      </w:pPr>
    </w:p>
    <w:p w:rsidR="00B314BC" w:rsidRDefault="00B314BC" w:rsidP="00B314BC">
      <w:pPr>
        <w:spacing w:line="259" w:lineRule="auto"/>
        <w:ind w:left="68"/>
        <w:rPr>
          <w:rFonts w:ascii="Arial" w:hAnsi="Arial" w:cs="Arial"/>
          <w:sz w:val="24"/>
        </w:rPr>
      </w:pPr>
    </w:p>
    <w:p w:rsidR="00D411BF" w:rsidRDefault="00D411BF" w:rsidP="00B314BC">
      <w:pPr>
        <w:spacing w:line="259" w:lineRule="auto"/>
        <w:ind w:left="68"/>
        <w:rPr>
          <w:rFonts w:ascii="Arial" w:hAnsi="Arial" w:cs="Arial"/>
          <w:sz w:val="24"/>
        </w:rPr>
      </w:pPr>
      <w:r w:rsidRPr="00B314BC">
        <w:rPr>
          <w:rFonts w:ascii="Arial" w:hAnsi="Arial" w:cs="Arial"/>
          <w:noProof/>
          <w:sz w:val="24"/>
          <w:lang w:eastAsia="en-GB"/>
        </w:rPr>
        <mc:AlternateContent>
          <mc:Choice Requires="wps">
            <w:drawing>
              <wp:anchor distT="45720" distB="45720" distL="114300" distR="114300" simplePos="0" relativeHeight="251692032" behindDoc="0" locked="0" layoutInCell="1" allowOverlap="1" wp14:anchorId="0F6FBDA2" wp14:editId="1975545F">
                <wp:simplePos x="0" y="0"/>
                <wp:positionH relativeFrom="margin">
                  <wp:posOffset>2133600</wp:posOffset>
                </wp:positionH>
                <wp:positionV relativeFrom="paragraph">
                  <wp:posOffset>15240</wp:posOffset>
                </wp:positionV>
                <wp:extent cx="1632585" cy="1404620"/>
                <wp:effectExtent l="0" t="0" r="2476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04620"/>
                        </a:xfrm>
                        <a:prstGeom prst="rect">
                          <a:avLst/>
                        </a:prstGeom>
                        <a:solidFill>
                          <a:schemeClr val="accent5">
                            <a:lumMod val="60000"/>
                            <a:lumOff val="40000"/>
                          </a:schemeClr>
                        </a:solidFill>
                        <a:ln w="9525">
                          <a:solidFill>
                            <a:srgbClr val="000000"/>
                          </a:solidFill>
                          <a:miter lim="800000"/>
                          <a:headEnd/>
                          <a:tailEnd/>
                        </a:ln>
                      </wps:spPr>
                      <wps:txbx>
                        <w:txbxContent>
                          <w:p w:rsidR="00D411BF" w:rsidRDefault="00D411BF" w:rsidP="00D411BF">
                            <w:pPr>
                              <w:jc w:val="center"/>
                            </w:pPr>
                            <w:r>
                              <w:t>5. Children in Specialist 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FBDA2" id="_x0000_s1027" type="#_x0000_t202" style="position:absolute;left:0;text-align:left;margin-left:168pt;margin-top:1.2pt;width:128.5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uYRwIAAIoEAAAOAAAAZHJzL2Uyb0RvYy54bWysVNuO0zAQfUfiHyy/06ShLd2o6WrpUoS0&#10;XKRdPmDiOI2Fb9huk/L1jJ2224U3RB4se8Zz5njOTFa3g5LkwJ0XRld0Oskp4ZqZRuhdRb8/bd8s&#10;KfEBdAPSaF7RI/f0dv361aq3JS9MZ2TDHUEQ7cveVrQLwZZZ5lnHFfiJsVyjszVOQcCj22WNgx7R&#10;lcyKPF9kvXGNdYZx79F6PzrpOuG3LWfha9t6HoisKHILaXVpreOarVdQ7hzYTrATDfgHFgqExqQX&#10;qHsIQPZO/AWlBHPGmzZMmFGZaVvBeHoDvmaa//Gaxw4sT2/B4nh7KZP/f7Dsy+GbI6Kp6JwSDQol&#10;euJDIO/NQIpYnd76Ei89WrwWBjSjyuml3j4Y9sMTbTYd6B2/c870HYcG2U1jZHYVOuL4CFL3n02D&#10;aWAfTAIaWqdi6bAYBNFRpeNFmUiFxZSLt8V8iRQZ+qazfLYoknYZlOdw63z4yI0icVNRh9IneDg8&#10;+BDpQHm+ErN5I0WzFVKmQ2w3vpGOHAAbBRjjOsxTuNwr5DvaFzl+Y8ugGRtrNM/OZkyRGjcipYQv&#10;kkhN+orezIsR+IXPu119SR/hxjwR8JqnEgGnRQpV0eXlEpSx6h90k3o5gJDjHoOlPskQKz9qEIZ6&#10;SHonjaJEtWmOqIsz43DgMOOmM+4XJT0ORkX9zz04Ton8pFHbm+lsFicpHWbzdygEcdee+toDmiFU&#10;RQMl43YT0vSlqts77IGtSOo8MzlRxoZPNTwNZ5yo63O69fwLWf8GAAD//wMAUEsDBBQABgAIAAAA&#10;IQAJ/QEl3gAAAAkBAAAPAAAAZHJzL2Rvd25yZXYueG1sTI/BTsMwEETvSPyDtUhcKuo0aSMIcSqK&#10;xBVEiTg78TYxxOsodtv071lOcBzNaOZNuZ3dIE44BetJwWqZgEBqvbHUKag/Xu7uQYSoyejBEyq4&#10;YIBtdX1V6sL4M73jaR87wSUUCq2gj3EspAxtj06HpR+R2Dv4yenIcuqkmfSZy90g0yTJpdOWeKHX&#10;Iz732H7vj07BZ2cuzW73urGHhe3evly9WPtaqdub+ekRRMQ5/oXhF5/RoWKmxh/JBDEoyLKcv0QF&#10;6RoE+5uHbAWiYZ1mOciqlP8fVD8AAAD//wMAUEsBAi0AFAAGAAgAAAAhALaDOJL+AAAA4QEAABMA&#10;AAAAAAAAAAAAAAAAAAAAAFtDb250ZW50X1R5cGVzXS54bWxQSwECLQAUAAYACAAAACEAOP0h/9YA&#10;AACUAQAACwAAAAAAAAAAAAAAAAAvAQAAX3JlbHMvLnJlbHNQSwECLQAUAAYACAAAACEApaELmEcC&#10;AACKBAAADgAAAAAAAAAAAAAAAAAuAgAAZHJzL2Uyb0RvYy54bWxQSwECLQAUAAYACAAAACEACf0B&#10;Jd4AAAAJAQAADwAAAAAAAAAAAAAAAAChBAAAZHJzL2Rvd25yZXYueG1sUEsFBgAAAAAEAAQA8wAA&#10;AKwFAAAAAA==&#10;" fillcolor="#8eaadb [1944]">
                <v:textbox style="mso-fit-shape-to-text:t">
                  <w:txbxContent>
                    <w:p w:rsidR="00D411BF" w:rsidRDefault="00D411BF" w:rsidP="00D411BF">
                      <w:pPr>
                        <w:jc w:val="center"/>
                      </w:pPr>
                      <w:r>
                        <w:t>5. Children in Specialist Provision</w:t>
                      </w:r>
                    </w:p>
                  </w:txbxContent>
                </v:textbox>
                <w10:wrap type="square" anchorx="margin"/>
              </v:shape>
            </w:pict>
          </mc:Fallback>
        </mc:AlternateContent>
      </w:r>
    </w:p>
    <w:p w:rsidR="00D411BF" w:rsidRDefault="00D411BF" w:rsidP="00B314BC">
      <w:pPr>
        <w:spacing w:line="259" w:lineRule="auto"/>
        <w:ind w:left="68"/>
        <w:rPr>
          <w:rFonts w:ascii="Arial" w:hAnsi="Arial" w:cs="Arial"/>
          <w:sz w:val="24"/>
        </w:rPr>
      </w:pPr>
    </w:p>
    <w:p w:rsidR="00B314BC" w:rsidRDefault="00B314BC" w:rsidP="00B314BC">
      <w:pPr>
        <w:spacing w:line="259" w:lineRule="auto"/>
        <w:ind w:left="68"/>
        <w:rPr>
          <w:rFonts w:ascii="Arial" w:hAnsi="Arial" w:cs="Arial"/>
          <w:sz w:val="24"/>
        </w:rPr>
      </w:pPr>
      <w:r w:rsidRPr="00B314BC">
        <w:rPr>
          <w:rFonts w:ascii="Arial" w:hAnsi="Arial" w:cs="Arial"/>
          <w:noProof/>
          <w:sz w:val="24"/>
          <w:lang w:eastAsia="en-GB"/>
        </w:rPr>
        <mc:AlternateContent>
          <mc:Choice Requires="wps">
            <w:drawing>
              <wp:anchor distT="45720" distB="45720" distL="114300" distR="114300" simplePos="0" relativeHeight="251684864" behindDoc="0" locked="0" layoutInCell="1" allowOverlap="1" wp14:anchorId="1B7B571E" wp14:editId="5DF657D5">
                <wp:simplePos x="0" y="0"/>
                <wp:positionH relativeFrom="margin">
                  <wp:posOffset>1943100</wp:posOffset>
                </wp:positionH>
                <wp:positionV relativeFrom="paragraph">
                  <wp:posOffset>149860</wp:posOffset>
                </wp:positionV>
                <wp:extent cx="1924050" cy="1404620"/>
                <wp:effectExtent l="0" t="0" r="19050"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99CC"/>
                        </a:solidFill>
                        <a:ln w="9525">
                          <a:solidFill>
                            <a:srgbClr val="000000"/>
                          </a:solidFill>
                          <a:miter lim="800000"/>
                          <a:headEnd/>
                          <a:tailEnd/>
                        </a:ln>
                      </wps:spPr>
                      <wps:txbx>
                        <w:txbxContent>
                          <w:p w:rsidR="00834B27" w:rsidRDefault="00834B27" w:rsidP="00B314BC">
                            <w:pPr>
                              <w:jc w:val="center"/>
                            </w:pPr>
                            <w:r>
                              <w:t>4. Children in External Alternative 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7B571E" id="_x0000_s1028" type="#_x0000_t202" style="position:absolute;left:0;text-align:left;margin-left:153pt;margin-top:11.8pt;width:151.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bIQKAIAAE0EAAAOAAAAZHJzL2Uyb0RvYy54bWysVNuO0zAQfUfiHyy/01zULtuo6WrpUoS0&#10;LEi7fIDjOI2F7TG226R8PWOnW6oFXhB9sOzM+PjMOTNd3YxakYNwXoKpaTHLKRGGQyvNrqZfn7Zv&#10;rinxgZmWKTCipkfh6c369avVYCtRQg+qFY4giPHVYGvah2CrLPO8F5r5GVhhMNiB0yzg0e2y1rEB&#10;0bXKyjy/ygZwrXXAhff49W4K0nXC7zrBw+eu8yIQVVPkFtLq0trENVuvWLVzzPaSn2iwf2ChmTT4&#10;6BnqjgVG9k7+BqUld+ChCzMOOoOuk1ykGrCaIn9RzWPPrEi1oDjenmXy/w+WPxy+OCJb9K6gxDCN&#10;Hj2JMZB3MJIyyjNYX2HWo8W8MOJnTE2lensP/JsnBjY9Mztx6xwMvWAt0ivizezi6oTjI0gzfIIW&#10;n2H7AAlo7JyO2qEaBNHRpuPZmkiFxyeX5TxfYIhjrJjn86symZex6vm6dT58EKBJ3NTUofcJnh3u&#10;fYh0WPWcEl/zoGS7lUqlg9s1G+XIgWGfbLfL5WaTKniRpgwZarpclItJgb9C5On3JwgtAza8krqm&#10;1+ckVkXd3ps2tWNgUk17pKzMScio3aRiGJsxWXb2p4H2iMo6mPob5xE3PbgflAzY2zX13/fMCUrU&#10;R4PuLIv5PA5DOswXb1FK4i4jzWWEGY5QNQ2UTNtNSAOUdLO36OJWJn2j3ROTE2Xs2ST7ab7iUFye&#10;U9avf4H1TwAAAP//AwBQSwMEFAAGAAgAAAAhAFQlPgPeAAAACgEAAA8AAABkcnMvZG93bnJldi54&#10;bWxMj8FOwzAQRO9I/IO1SNyoTVOiNo1ToQLihkpB4rqNt0kgtqPYrcPfs5zguLOjmTflZrK9ONMY&#10;Ou803M4UCHK1N51rNLy/Pd0sQYSIzmDvHWn4pgCb6vKixML45F7pvI+N4BAXCtTQxjgUUoa6JYth&#10;5gdy/Dv60WLkc2ykGTFxuO3lXKlcWuwcN7Q40Lal+mt/shqiTenu2Xzgp1w9Pphmu3vZZUnr66vp&#10;fg0i0hT/zPCLz+hQMdPBn5wJoteQqZy3RA3zLAfBhlytWDiwsFgsQVal/D+h+gEAAP//AwBQSwEC&#10;LQAUAAYACAAAACEAtoM4kv4AAADhAQAAEwAAAAAAAAAAAAAAAAAAAAAAW0NvbnRlbnRfVHlwZXNd&#10;LnhtbFBLAQItABQABgAIAAAAIQA4/SH/1gAAAJQBAAALAAAAAAAAAAAAAAAAAC8BAABfcmVscy8u&#10;cmVsc1BLAQItABQABgAIAAAAIQD76bIQKAIAAE0EAAAOAAAAAAAAAAAAAAAAAC4CAABkcnMvZTJv&#10;RG9jLnhtbFBLAQItABQABgAIAAAAIQBUJT4D3gAAAAoBAAAPAAAAAAAAAAAAAAAAAIIEAABkcnMv&#10;ZG93bnJldi54bWxQSwUGAAAAAAQABADzAAAAjQUAAAAA&#10;" fillcolor="#f9c">
                <v:textbox style="mso-fit-shape-to-text:t">
                  <w:txbxContent>
                    <w:p w:rsidR="00834B27" w:rsidRDefault="00834B27" w:rsidP="00B314BC">
                      <w:pPr>
                        <w:jc w:val="center"/>
                      </w:pPr>
                      <w:r>
                        <w:t>4. Children in External Alternative Provision</w:t>
                      </w:r>
                    </w:p>
                  </w:txbxContent>
                </v:textbox>
                <w10:wrap type="square" anchorx="margin"/>
              </v:shape>
            </w:pict>
          </mc:Fallback>
        </mc:AlternateContent>
      </w:r>
    </w:p>
    <w:p w:rsidR="00B314BC" w:rsidRDefault="00B314BC" w:rsidP="00B314BC">
      <w:pPr>
        <w:spacing w:line="259" w:lineRule="auto"/>
        <w:ind w:left="68"/>
        <w:rPr>
          <w:rFonts w:ascii="Arial" w:hAnsi="Arial" w:cs="Arial"/>
          <w:sz w:val="24"/>
        </w:rPr>
      </w:pPr>
    </w:p>
    <w:p w:rsidR="00B314BC" w:rsidRDefault="00B314BC" w:rsidP="00B314BC">
      <w:pPr>
        <w:spacing w:line="259" w:lineRule="auto"/>
        <w:ind w:left="68"/>
        <w:rPr>
          <w:rFonts w:ascii="Arial" w:hAnsi="Arial" w:cs="Arial"/>
          <w:sz w:val="24"/>
        </w:rPr>
      </w:pPr>
    </w:p>
    <w:p w:rsidR="00B314BC" w:rsidRDefault="00B314BC" w:rsidP="00B314BC">
      <w:pPr>
        <w:spacing w:line="259" w:lineRule="auto"/>
        <w:ind w:left="68"/>
        <w:rPr>
          <w:rFonts w:ascii="Arial" w:hAnsi="Arial" w:cs="Arial"/>
          <w:sz w:val="24"/>
        </w:rPr>
      </w:pPr>
      <w:r w:rsidRPr="00B314BC">
        <w:rPr>
          <w:rFonts w:ascii="Arial" w:hAnsi="Arial" w:cs="Arial"/>
          <w:noProof/>
          <w:sz w:val="24"/>
          <w:lang w:eastAsia="en-GB"/>
        </w:rPr>
        <mc:AlternateContent>
          <mc:Choice Requires="wps">
            <w:drawing>
              <wp:anchor distT="45720" distB="45720" distL="114300" distR="114300" simplePos="0" relativeHeight="251680768" behindDoc="0" locked="0" layoutInCell="1" allowOverlap="1" wp14:anchorId="09FE0BDF" wp14:editId="721A0DD3">
                <wp:simplePos x="0" y="0"/>
                <wp:positionH relativeFrom="margin">
                  <wp:posOffset>1562100</wp:posOffset>
                </wp:positionH>
                <wp:positionV relativeFrom="paragraph">
                  <wp:posOffset>94615</wp:posOffset>
                </wp:positionV>
                <wp:extent cx="2673350" cy="140462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404620"/>
                        </a:xfrm>
                        <a:prstGeom prst="rect">
                          <a:avLst/>
                        </a:prstGeom>
                        <a:solidFill>
                          <a:srgbClr val="FFC000"/>
                        </a:solidFill>
                        <a:ln w="9525">
                          <a:solidFill>
                            <a:srgbClr val="000000"/>
                          </a:solidFill>
                          <a:miter lim="800000"/>
                          <a:headEnd/>
                          <a:tailEnd/>
                        </a:ln>
                      </wps:spPr>
                      <wps:txbx>
                        <w:txbxContent>
                          <w:p w:rsidR="00834B27" w:rsidRDefault="00834B27" w:rsidP="00B314BC">
                            <w:pPr>
                              <w:jc w:val="center"/>
                            </w:pPr>
                            <w:r>
                              <w:t>3. Specialist work for children at risk of repeated exclusion or permanent exclusion including internal AP and family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E0BDF" id="_x0000_s1029" type="#_x0000_t202" style="position:absolute;left:0;text-align:left;margin-left:123pt;margin-top:7.45pt;width:210.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ecKQIAAE4EAAAOAAAAZHJzL2Uyb0RvYy54bWysVNuO2yAQfa/Uf0C8N77ktmvFWW2zTVVp&#10;e5F2+wEY4xgVMxRI7PTrO+AkTVvtS9UXC5jhcOacGa/uhk6Rg7BOgi5pNkkpEZpDLfWupF+ft29u&#10;KHGe6Zop0KKkR+Ho3fr1q1VvCpFDC6oWliCIdkVvStp6b4okcbwVHXMTMEJjsAHbMY9bu0tqy3pE&#10;71SSp+ki6cHWxgIXzuHpwxik64jfNIL7z03jhCeqpMjNx6+N3yp8k/WKFTvLTCv5iQb7BxYdkxof&#10;vUA9MM/I3sq/oDrJLTho/IRDl0DTSC5iDVhNlv5RzVPLjIi1oDjOXGRy/w+Wfzp8sUTWJc2zJSWa&#10;dWjSsxg8eQsDyYM+vXEFpj0ZTPQDHqPPsVZnHoF/c0TDpmV6J+6thb4VrEZ+WbiZXF0dcVwAqfqP&#10;UOMzbO8hAg2N7YJ4KAdBdPTpePEmUOF4mC+W0+kcQxxj2SydLfLoXsKK83VjnX8voCNhUVKL5kd4&#10;dnh0PtBhxTklvOZAyXorlYobu6s2ypIDw0bZbjdpekb/LU1p0pf0dp7PRwVehMD7L0B00mPHK9mV&#10;9OaSxIqg2ztdx370TKpxjZSVPgkZtBtV9EM1RM+mZ38qqI+orIWxwXEgcdGC/UFJj81dUvd9z6yg&#10;RH3Q6M5tNpuFaYib2XyJUhJ7HamuI0xzhCqpp2RcbnycoKibuUcXtzLqG+wemZwoY9NG2U8DFqbi&#10;eh+zfv0G1j8BAAD//wMAUEsDBBQABgAIAAAAIQBYIEUZ3QAAAAoBAAAPAAAAZHJzL2Rvd25yZXYu&#10;eG1sTI/BTsMwEETvSPyDtUjcqNNQOSXEqSIQXLjQhkOPTrwkEfE6it02/D3LCY47bzQ7U+wWN4oz&#10;zmHwpGG9SkAgtd4O1Gn4qF/utiBCNGTN6Ak1fGOAXXl9VZjc+gvt8XyIneAQCrnR0Mc45VKGtkdn&#10;wspPSMw+/exM5HPupJ3NhcPdKNMkUdKZgfhDbyZ86rH9OpycBsr29fBW1VXWvIZ3i8/tmB6D1rc3&#10;S/UIIuIS/8zwW5+rQ8mdGn8iG8SoId0o3hIZbB5AsEGpjIWGyb1agywL+X9C+QMAAP//AwBQSwEC&#10;LQAUAAYACAAAACEAtoM4kv4AAADhAQAAEwAAAAAAAAAAAAAAAAAAAAAAW0NvbnRlbnRfVHlwZXNd&#10;LnhtbFBLAQItABQABgAIAAAAIQA4/SH/1gAAAJQBAAALAAAAAAAAAAAAAAAAAC8BAABfcmVscy8u&#10;cmVsc1BLAQItABQABgAIAAAAIQAWTkecKQIAAE4EAAAOAAAAAAAAAAAAAAAAAC4CAABkcnMvZTJv&#10;RG9jLnhtbFBLAQItABQABgAIAAAAIQBYIEUZ3QAAAAoBAAAPAAAAAAAAAAAAAAAAAIMEAABkcnMv&#10;ZG93bnJldi54bWxQSwUGAAAAAAQABADzAAAAjQUAAAAA&#10;" fillcolor="#ffc000">
                <v:textbox style="mso-fit-shape-to-text:t">
                  <w:txbxContent>
                    <w:p w:rsidR="00834B27" w:rsidRDefault="00834B27" w:rsidP="00B314BC">
                      <w:pPr>
                        <w:jc w:val="center"/>
                      </w:pPr>
                      <w:r>
                        <w:t>3. Specialist work for children at risk of repeated exclusion or permanent exclusion including internal AP and family practice</w:t>
                      </w:r>
                    </w:p>
                  </w:txbxContent>
                </v:textbox>
                <w10:wrap type="square" anchorx="margin"/>
              </v:shape>
            </w:pict>
          </mc:Fallback>
        </mc:AlternateContent>
      </w:r>
    </w:p>
    <w:p w:rsidR="00B314BC" w:rsidRDefault="00B314BC" w:rsidP="00B314BC">
      <w:pPr>
        <w:spacing w:line="259" w:lineRule="auto"/>
        <w:ind w:left="68"/>
        <w:rPr>
          <w:rFonts w:ascii="Arial" w:hAnsi="Arial" w:cs="Arial"/>
          <w:sz w:val="24"/>
        </w:rPr>
      </w:pPr>
    </w:p>
    <w:p w:rsidR="00B314BC" w:rsidRDefault="00B314BC" w:rsidP="00B314BC">
      <w:pPr>
        <w:spacing w:after="160" w:line="259" w:lineRule="auto"/>
        <w:ind w:left="66"/>
        <w:rPr>
          <w:rFonts w:ascii="Arial" w:hAnsi="Arial" w:cs="Arial"/>
          <w:sz w:val="24"/>
        </w:rPr>
      </w:pPr>
    </w:p>
    <w:p w:rsidR="00B314BC" w:rsidRDefault="00B314BC" w:rsidP="00B314BC">
      <w:pPr>
        <w:spacing w:after="160" w:line="259" w:lineRule="auto"/>
        <w:ind w:left="66"/>
        <w:rPr>
          <w:rFonts w:ascii="Arial" w:hAnsi="Arial" w:cs="Arial"/>
          <w:sz w:val="24"/>
        </w:rPr>
      </w:pPr>
      <w:r w:rsidRPr="00B314BC">
        <w:rPr>
          <w:rFonts w:ascii="Arial" w:hAnsi="Arial" w:cs="Arial"/>
          <w:noProof/>
          <w:sz w:val="24"/>
          <w:lang w:eastAsia="en-GB"/>
        </w:rPr>
        <mc:AlternateContent>
          <mc:Choice Requires="wps">
            <w:drawing>
              <wp:anchor distT="45720" distB="45720" distL="114300" distR="114300" simplePos="0" relativeHeight="251682816" behindDoc="0" locked="0" layoutInCell="1" allowOverlap="1" wp14:anchorId="6C91511C" wp14:editId="1DE189F2">
                <wp:simplePos x="0" y="0"/>
                <wp:positionH relativeFrom="margin">
                  <wp:posOffset>1134110</wp:posOffset>
                </wp:positionH>
                <wp:positionV relativeFrom="paragraph">
                  <wp:posOffset>126365</wp:posOffset>
                </wp:positionV>
                <wp:extent cx="3535680" cy="1404620"/>
                <wp:effectExtent l="0" t="0" r="26670"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404620"/>
                        </a:xfrm>
                        <a:prstGeom prst="rect">
                          <a:avLst/>
                        </a:prstGeom>
                        <a:solidFill>
                          <a:srgbClr val="FFFF00"/>
                        </a:solidFill>
                        <a:ln w="9525">
                          <a:solidFill>
                            <a:srgbClr val="000000"/>
                          </a:solidFill>
                          <a:miter lim="800000"/>
                          <a:headEnd/>
                          <a:tailEnd/>
                        </a:ln>
                      </wps:spPr>
                      <wps:txbx>
                        <w:txbxContent>
                          <w:p w:rsidR="00834B27" w:rsidRDefault="00834B27" w:rsidP="00B314BC">
                            <w:pPr>
                              <w:jc w:val="center"/>
                            </w:pPr>
                            <w:r>
                              <w:t>2. Targeted work with cohorts of children to meet SEMH needs, improve behaviour and relationships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91511C" id="_x0000_s1030" type="#_x0000_t202" style="position:absolute;left:0;text-align:left;margin-left:89.3pt;margin-top:9.95pt;width:278.4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pKQIAAE0EAAAOAAAAZHJzL2Uyb0RvYy54bWysVMtu2zAQvBfoPxC815Id2XUEy0Hq1EWB&#10;9AEk/YAVRVlE+SpJW0q/PkvKdt0UvRTVgSC5y+FwZlerm0FJcuDOC6MrOp3klHDNTCP0rqLfHrdv&#10;lpT4ALoBaTSv6BP39Gb9+tWqtyWfmc7IhjuCINqXva1oF4Its8yzjivwE2O5xmBrnIKAS7fLGgc9&#10;oiuZzfJ8kfXGNdYZxr3H3bsxSNcJv205C1/a1vNAZEWRW0ijS2Mdx2y9gnLnwHaCHWnAP7BQIDRe&#10;eoa6gwBk78QfUEowZ7xpw4QZlZm2FYynN+BrpvmL1zx0YHl6C4rj7Vkm//9g2efDV0dEg96hPBoU&#10;evTIh0DemYHMojy99SVmPVjMCwNuY2p6qrf3hn33RJtNB3rHb50zfcehQXrTeDK7ODri+AhS959M&#10;g9fAPpgENLRORe1QDYLoyOPpbE2kwnDzan41XywxxDA2LfJiMUvmZVCejlvnwwduFImTijr0PsHD&#10;4d6HSAfKU0q8zRspmq2QMi3crt5IRw6AdbLFLz+h/5YmNekrej2fzUcF/gqRpy+J8OImJQIWvBSq&#10;ostzEpRRt/e6SeUYQMhxjpSlPgoZtRtVDEM9JMuKkz+1aZ5QWWfG+sZ+xEln3E9Keqztivofe3Cc&#10;EvlRozvX06KIzZAWxfwtSkncZaS+jIBmCFXRQMk43YTUQEk3e4subkXSN9o9MjlSxppNsh/7KzbF&#10;5Tpl/foLrJ8BAAD//wMAUEsDBBQABgAIAAAAIQCUBx8c3gAAAAoBAAAPAAAAZHJzL2Rvd25yZXYu&#10;eG1sTI/BTsMwDIbvSLxDZCRuLG0Z3VqaTgiJC0JCHeOeNaaN1jhVk27l7TEnuPmXP/3+XO0WN4gz&#10;TsF6UpCuEhBIrTeWOgWHj5e7LYgQNRk9eEIF3xhgV19fVbo0/kINnvexE1xCodQK+hjHUsrQ9uh0&#10;WPkRiXdffnI6cpw6aSZ94XI3yCxJcum0Jb7Q6xGfe2xP+9kpKE4yfW/Mm7WH2TZZ+5mHvHtV6vZm&#10;eXoEEXGJfzD86rM61Ox09DOZIAbOm23OKA9FAYKBzf3DGsRRQbZOU5B1Jf+/UP8AAAD//wMAUEsB&#10;Ai0AFAAGAAgAAAAhALaDOJL+AAAA4QEAABMAAAAAAAAAAAAAAAAAAAAAAFtDb250ZW50X1R5cGVz&#10;XS54bWxQSwECLQAUAAYACAAAACEAOP0h/9YAAACUAQAACwAAAAAAAAAAAAAAAAAvAQAAX3JlbHMv&#10;LnJlbHNQSwECLQAUAAYACAAAACEAEVHf6SkCAABNBAAADgAAAAAAAAAAAAAAAAAuAgAAZHJzL2Uy&#10;b0RvYy54bWxQSwECLQAUAAYACAAAACEAlAcfHN4AAAAKAQAADwAAAAAAAAAAAAAAAACDBAAAZHJz&#10;L2Rvd25yZXYueG1sUEsFBgAAAAAEAAQA8wAAAI4FAAAAAA==&#10;" fillcolor="yellow">
                <v:textbox style="mso-fit-shape-to-text:t">
                  <w:txbxContent>
                    <w:p w:rsidR="00834B27" w:rsidRDefault="00834B27" w:rsidP="00B314BC">
                      <w:pPr>
                        <w:jc w:val="center"/>
                      </w:pPr>
                      <w:r>
                        <w:t>2. Targeted work with cohorts of children to meet SEMH needs, improve behaviour and relationships</w:t>
                      </w:r>
                    </w:p>
                  </w:txbxContent>
                </v:textbox>
                <w10:wrap type="square" anchorx="margin"/>
              </v:shape>
            </w:pict>
          </mc:Fallback>
        </mc:AlternateContent>
      </w:r>
    </w:p>
    <w:p w:rsidR="00B314BC" w:rsidRDefault="00B314BC" w:rsidP="00B314BC">
      <w:pPr>
        <w:spacing w:after="160" w:line="259" w:lineRule="auto"/>
        <w:ind w:left="66"/>
        <w:rPr>
          <w:rFonts w:ascii="Arial" w:hAnsi="Arial" w:cs="Arial"/>
          <w:sz w:val="24"/>
        </w:rPr>
      </w:pPr>
    </w:p>
    <w:p w:rsidR="00B314BC" w:rsidRDefault="00BB18D1" w:rsidP="00B314BC">
      <w:pPr>
        <w:spacing w:after="160" w:line="259" w:lineRule="auto"/>
        <w:ind w:left="66"/>
        <w:rPr>
          <w:rFonts w:ascii="Arial" w:hAnsi="Arial" w:cs="Arial"/>
          <w:sz w:val="24"/>
        </w:rPr>
      </w:pPr>
      <w:r w:rsidRPr="00B314BC">
        <w:rPr>
          <w:rFonts w:ascii="Arial" w:hAnsi="Arial" w:cs="Arial"/>
          <w:noProof/>
          <w:sz w:val="24"/>
          <w:lang w:eastAsia="en-GB"/>
        </w:rPr>
        <mc:AlternateContent>
          <mc:Choice Requires="wps">
            <w:drawing>
              <wp:anchor distT="45720" distB="45720" distL="114300" distR="114300" simplePos="0" relativeHeight="251686912" behindDoc="0" locked="0" layoutInCell="1" allowOverlap="1" wp14:anchorId="7075DC9B" wp14:editId="749D2263">
                <wp:simplePos x="0" y="0"/>
                <wp:positionH relativeFrom="margin">
                  <wp:align>center</wp:align>
                </wp:positionH>
                <wp:positionV relativeFrom="paragraph">
                  <wp:posOffset>83048</wp:posOffset>
                </wp:positionV>
                <wp:extent cx="4612005" cy="497205"/>
                <wp:effectExtent l="0" t="0" r="17145"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497205"/>
                        </a:xfrm>
                        <a:prstGeom prst="rect">
                          <a:avLst/>
                        </a:prstGeom>
                        <a:solidFill>
                          <a:schemeClr val="accent6">
                            <a:lumMod val="40000"/>
                            <a:lumOff val="60000"/>
                          </a:schemeClr>
                        </a:solidFill>
                        <a:ln w="9525">
                          <a:solidFill>
                            <a:srgbClr val="000000"/>
                          </a:solidFill>
                          <a:miter lim="800000"/>
                          <a:headEnd/>
                          <a:tailEnd/>
                        </a:ln>
                      </wps:spPr>
                      <wps:txbx>
                        <w:txbxContent>
                          <w:p w:rsidR="00834B27" w:rsidRDefault="00834B27" w:rsidP="0076458E">
                            <w:pPr>
                              <w:pStyle w:val="ListParagraph"/>
                              <w:numPr>
                                <w:ilvl w:val="0"/>
                                <w:numId w:val="6"/>
                              </w:numPr>
                              <w:jc w:val="center"/>
                            </w:pPr>
                            <w:r>
                              <w:t>Whole-school work on culture, relationships and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5DC9B" id="_x0000_s1031" type="#_x0000_t202" style="position:absolute;left:0;text-align:left;margin-left:0;margin-top:6.55pt;width:363.15pt;height:39.15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S8RwIAAIoEAAAOAAAAZHJzL2Uyb0RvYy54bWysVMFu2zAMvQ/YPwi6L06MJGuMOkWXrsOA&#10;rhvQ7gNoWY6FSaInKbGzrx8lJ2m63YblYEgk9fjIR+b6ZjCa7aXzCm3JZ5MpZ9IKrJXdlvz78/27&#10;K858AFuDRitLfpCe36zfvrnuu0Lm2KKupWMEYn3RdyVvQ+iKLPOilQb8BDtpydmgMxDo6rZZ7aAn&#10;dKOzfDpdZj26unMopPdkvRudfJ3wm0aK8LVpvAxMl5y4hfR16VvFb7a+hmLroGuVONKAf2BhQFlK&#10;eoa6gwBs59RfUEYJhx6bMBFoMmwaJWSqgaqZTf+o5qmFTqZaqDm+O7fJ/z9Y8bj/5piqSbucMwuG&#10;NHqWQ2AfcGB5bE/f+YKinjqKCwOZKTSV6rsHFD88s7hpwW7lrXPYtxJqojeLL7OLpyOOjyBV/wVr&#10;SgO7gAloaJyJvaNuMEInmQ5naSIVQcb5ckZyLzgT5Juv3ud0jimgOL3unA+fJBoWDyV3JH1Ch/2D&#10;D2PoKSQm86hVfa+0Tpc4bnKjHdsDDQoIIW1Ypud6Z4juaJ9P6TeODJlpsEbz8mQmNmlwI1Li9iqJ&#10;tqwv+WqRLxLwK5932+qcPsKNeSLgJU+jAm2LVqbkV+cgKGLTP9qaioQigNLjmR5re1QhNn6UIAzV&#10;kPRO/YsKVVgfSBaH43LQMtOhRfeLs54Wo+T+5w6c5Ex/tiTtajafx01Kl/mClODMXXqqSw9YQVAl&#10;D5yNx01I2xepWrylEWhUUueFyZEyDXzq4XE540Zd3lPUy1/I+jcAAAD//wMAUEsDBBQABgAIAAAA&#10;IQAMDv9w3wAAAAYBAAAPAAAAZHJzL2Rvd25yZXYueG1sTI/BTsMwEETvSPyDtUjcqJO2KjTEqRCo&#10;FaICibYHjm68jSPsdRS7bfr3LCc47sxo5m25GLwTJ+xjG0hBPspAINXBtNQo2G2Xdw8gYtJktAuE&#10;Ci4YYVFdX5W6MOFMn3japEZwCcVCK7ApdYWUsbbodRyFDom9Q+i9Tnz2jTS9PnO5d3KcZTPpdUu8&#10;YHWHzxbr783RK1j5cHhzL6vd9vXrY7m+dPOprd+Vur0Znh5BJBzSXxh+8RkdKmbahyOZKJwCfiSx&#10;OslBsHs/nk1A7BXM8ynIqpT/8asfAAAA//8DAFBLAQItABQABgAIAAAAIQC2gziS/gAAAOEBAAAT&#10;AAAAAAAAAAAAAAAAAAAAAABbQ29udGVudF9UeXBlc10ueG1sUEsBAi0AFAAGAAgAAAAhADj9If/W&#10;AAAAlAEAAAsAAAAAAAAAAAAAAAAALwEAAF9yZWxzLy5yZWxzUEsBAi0AFAAGAAgAAAAhAGA9hLxH&#10;AgAAigQAAA4AAAAAAAAAAAAAAAAALgIAAGRycy9lMm9Eb2MueG1sUEsBAi0AFAAGAAgAAAAhAAwO&#10;/3DfAAAABgEAAA8AAAAAAAAAAAAAAAAAoQQAAGRycy9kb3ducmV2LnhtbFBLBQYAAAAABAAEAPMA&#10;AACtBQAAAAA=&#10;" fillcolor="#c5e0b3 [1305]">
                <v:textbox>
                  <w:txbxContent>
                    <w:p w:rsidR="00834B27" w:rsidRDefault="00834B27" w:rsidP="0076458E">
                      <w:pPr>
                        <w:pStyle w:val="ListParagraph"/>
                        <w:numPr>
                          <w:ilvl w:val="0"/>
                          <w:numId w:val="6"/>
                        </w:numPr>
                        <w:jc w:val="center"/>
                      </w:pPr>
                      <w:r>
                        <w:t>Whole-school work on culture, relationships and curriculum</w:t>
                      </w:r>
                    </w:p>
                  </w:txbxContent>
                </v:textbox>
                <w10:wrap type="square" anchorx="margin"/>
              </v:shape>
            </w:pict>
          </mc:Fallback>
        </mc:AlternateContent>
      </w:r>
    </w:p>
    <w:p w:rsidR="006B37B7" w:rsidRDefault="006B37B7" w:rsidP="00B314BC">
      <w:pPr>
        <w:spacing w:after="160" w:line="259" w:lineRule="auto"/>
        <w:ind w:left="66"/>
        <w:rPr>
          <w:rFonts w:ascii="Arial" w:hAnsi="Arial" w:cs="Arial"/>
          <w:b/>
          <w:sz w:val="24"/>
        </w:rPr>
      </w:pPr>
    </w:p>
    <w:p w:rsidR="006B37B7" w:rsidRDefault="006B37B7" w:rsidP="00B314BC">
      <w:pPr>
        <w:spacing w:after="160" w:line="259" w:lineRule="auto"/>
        <w:ind w:left="66"/>
        <w:rPr>
          <w:rFonts w:ascii="Arial" w:hAnsi="Arial" w:cs="Arial"/>
          <w:b/>
          <w:sz w:val="24"/>
        </w:rPr>
      </w:pPr>
    </w:p>
    <w:p w:rsidR="006B37B7" w:rsidRDefault="006B37B7" w:rsidP="00B314BC">
      <w:pPr>
        <w:spacing w:after="160" w:line="259" w:lineRule="auto"/>
        <w:ind w:left="66"/>
        <w:rPr>
          <w:rFonts w:ascii="Arial" w:hAnsi="Arial" w:cs="Arial"/>
          <w:b/>
          <w:sz w:val="24"/>
        </w:rPr>
      </w:pPr>
    </w:p>
    <w:p w:rsidR="00D411BF" w:rsidRPr="00D411BF" w:rsidRDefault="00D411BF" w:rsidP="00B314BC">
      <w:pPr>
        <w:spacing w:after="160" w:line="259" w:lineRule="auto"/>
        <w:ind w:left="66"/>
        <w:rPr>
          <w:rFonts w:ascii="Arial" w:hAnsi="Arial" w:cs="Arial"/>
          <w:sz w:val="24"/>
        </w:rPr>
      </w:pPr>
      <w:r>
        <w:rPr>
          <w:rFonts w:ascii="Arial" w:hAnsi="Arial" w:cs="Arial"/>
          <w:b/>
          <w:sz w:val="24"/>
        </w:rPr>
        <w:t xml:space="preserve">Tier 5 </w:t>
      </w:r>
      <w:r w:rsidRPr="00D411BF">
        <w:rPr>
          <w:rFonts w:ascii="Arial" w:hAnsi="Arial" w:cs="Arial"/>
          <w:sz w:val="24"/>
        </w:rPr>
        <w:t>describes those children whose needs are such that they require an EHCP (usually under SEMH) and require long-term specialist provision (e.g. Harbour or Out of City placement)</w:t>
      </w:r>
    </w:p>
    <w:p w:rsidR="006B37B7" w:rsidRDefault="006B37B7" w:rsidP="00B314BC">
      <w:pPr>
        <w:spacing w:after="160" w:line="259" w:lineRule="auto"/>
        <w:ind w:left="66"/>
        <w:rPr>
          <w:rFonts w:ascii="Arial" w:hAnsi="Arial" w:cs="Arial"/>
          <w:sz w:val="24"/>
        </w:rPr>
      </w:pPr>
      <w:r w:rsidRPr="006B37B7">
        <w:rPr>
          <w:rFonts w:ascii="Arial" w:hAnsi="Arial" w:cs="Arial"/>
          <w:b/>
          <w:sz w:val="24"/>
        </w:rPr>
        <w:t>Tier 4</w:t>
      </w:r>
      <w:r w:rsidRPr="006B37B7">
        <w:rPr>
          <w:rFonts w:ascii="Arial" w:hAnsi="Arial" w:cs="Arial"/>
          <w:sz w:val="24"/>
        </w:rPr>
        <w:t xml:space="preserve"> describes those children whose needs are such that they require Alternative </w:t>
      </w:r>
      <w:r w:rsidR="00CA7578">
        <w:rPr>
          <w:rFonts w:ascii="Arial" w:hAnsi="Arial" w:cs="Arial"/>
          <w:sz w:val="24"/>
        </w:rPr>
        <w:t xml:space="preserve">or specialist </w:t>
      </w:r>
      <w:r w:rsidRPr="006B37B7">
        <w:rPr>
          <w:rFonts w:ascii="Arial" w:hAnsi="Arial" w:cs="Arial"/>
          <w:sz w:val="24"/>
        </w:rPr>
        <w:t>Provision (currently in the Harbour School and Flying Bull Resourced Provision.</w:t>
      </w:r>
      <w:r>
        <w:rPr>
          <w:rFonts w:ascii="Arial" w:hAnsi="Arial" w:cs="Arial"/>
          <w:sz w:val="24"/>
        </w:rPr>
        <w:t xml:space="preserve">  There should be an ambition for re-integration into mainstream school, particularly at Key Stage 3 </w:t>
      </w:r>
    </w:p>
    <w:p w:rsidR="00665467" w:rsidRDefault="006B37B7" w:rsidP="00B314BC">
      <w:pPr>
        <w:spacing w:after="160" w:line="259" w:lineRule="auto"/>
        <w:ind w:left="66"/>
        <w:rPr>
          <w:rFonts w:ascii="Arial" w:hAnsi="Arial" w:cs="Arial"/>
          <w:sz w:val="24"/>
        </w:rPr>
      </w:pPr>
      <w:r w:rsidRPr="00665467">
        <w:rPr>
          <w:rFonts w:ascii="Arial" w:hAnsi="Arial" w:cs="Arial"/>
          <w:b/>
          <w:sz w:val="24"/>
        </w:rPr>
        <w:t>Tier 3</w:t>
      </w:r>
      <w:r>
        <w:rPr>
          <w:rFonts w:ascii="Arial" w:hAnsi="Arial" w:cs="Arial"/>
          <w:sz w:val="24"/>
        </w:rPr>
        <w:t xml:space="preserve"> describes this children whose unmet needs are leading to repeated fixed term exclusions</w:t>
      </w:r>
      <w:r w:rsidR="00665467">
        <w:rPr>
          <w:rFonts w:ascii="Arial" w:hAnsi="Arial" w:cs="Arial"/>
          <w:sz w:val="24"/>
        </w:rPr>
        <w:t xml:space="preserve"> and/or are educated for a significant part of the week in in-site or school-commissioned Alternative Provision.  These children are likely to have complex or entrenched social, emotional and relational needs requiring early help or statutory safeguarding family-based practice to improve the home environment.</w:t>
      </w:r>
    </w:p>
    <w:p w:rsidR="006B37B7" w:rsidRDefault="00665467" w:rsidP="00B314BC">
      <w:pPr>
        <w:spacing w:after="160" w:line="259" w:lineRule="auto"/>
        <w:ind w:left="66"/>
        <w:rPr>
          <w:rFonts w:ascii="Arial" w:hAnsi="Arial" w:cs="Arial"/>
          <w:sz w:val="24"/>
        </w:rPr>
      </w:pPr>
      <w:r w:rsidRPr="00665467">
        <w:rPr>
          <w:rFonts w:ascii="Arial" w:hAnsi="Arial" w:cs="Arial"/>
          <w:b/>
          <w:sz w:val="24"/>
        </w:rPr>
        <w:t>Tier 2</w:t>
      </w:r>
      <w:r>
        <w:rPr>
          <w:rFonts w:ascii="Arial" w:hAnsi="Arial" w:cs="Arial"/>
          <w:sz w:val="24"/>
        </w:rPr>
        <w:t xml:space="preserve"> describes work in the school to target groups of children at risk of disengaging from learning through unmet SEMH need. This may include </w:t>
      </w:r>
      <w:r w:rsidR="002C3A58">
        <w:rPr>
          <w:rFonts w:ascii="Arial" w:hAnsi="Arial" w:cs="Arial"/>
          <w:sz w:val="24"/>
        </w:rPr>
        <w:t>a range of targeted interventions.</w:t>
      </w:r>
      <w:r>
        <w:rPr>
          <w:rFonts w:ascii="Arial" w:hAnsi="Arial" w:cs="Arial"/>
          <w:sz w:val="24"/>
        </w:rPr>
        <w:t xml:space="preserve"> </w:t>
      </w:r>
    </w:p>
    <w:p w:rsidR="00AA688E" w:rsidRPr="00AA688E" w:rsidRDefault="00665467" w:rsidP="004D16DC">
      <w:pPr>
        <w:spacing w:after="160" w:line="259" w:lineRule="auto"/>
        <w:ind w:left="66"/>
        <w:rPr>
          <w:rFonts w:ascii="Arial" w:hAnsi="Arial" w:cs="Arial"/>
          <w:sz w:val="24"/>
          <w:szCs w:val="24"/>
        </w:rPr>
      </w:pPr>
      <w:r>
        <w:rPr>
          <w:rFonts w:ascii="Arial" w:hAnsi="Arial" w:cs="Arial"/>
          <w:b/>
          <w:sz w:val="24"/>
        </w:rPr>
        <w:t xml:space="preserve">Tier 1 </w:t>
      </w:r>
      <w:r w:rsidRPr="00665467">
        <w:rPr>
          <w:rFonts w:ascii="Arial" w:hAnsi="Arial" w:cs="Arial"/>
          <w:sz w:val="24"/>
        </w:rPr>
        <w:t xml:space="preserve">describes whole-school work </w:t>
      </w:r>
      <w:r>
        <w:rPr>
          <w:rFonts w:ascii="Arial" w:hAnsi="Arial" w:cs="Arial"/>
          <w:sz w:val="24"/>
        </w:rPr>
        <w:t xml:space="preserve">to improve inclusive practice across the school environment.  It would include developing and delivering an engaging </w:t>
      </w:r>
      <w:r w:rsidR="00023FF9">
        <w:rPr>
          <w:rFonts w:ascii="Arial" w:hAnsi="Arial" w:cs="Arial"/>
          <w:sz w:val="24"/>
        </w:rPr>
        <w:t xml:space="preserve">and ambitious </w:t>
      </w:r>
      <w:r>
        <w:rPr>
          <w:rFonts w:ascii="Arial" w:hAnsi="Arial" w:cs="Arial"/>
          <w:sz w:val="24"/>
        </w:rPr>
        <w:t>curriculum, strong teacher-pupil relationships, passionate and compassionate leadership, and a safe, welcoming and inclusive school ethos and culture</w:t>
      </w:r>
      <w:r w:rsidR="00023FF9">
        <w:rPr>
          <w:rFonts w:ascii="Arial" w:hAnsi="Arial" w:cs="Arial"/>
          <w:sz w:val="24"/>
        </w:rPr>
        <w:t>.</w:t>
      </w:r>
      <w:r>
        <w:rPr>
          <w:rFonts w:ascii="Arial" w:hAnsi="Arial" w:cs="Arial"/>
          <w:sz w:val="24"/>
        </w:rPr>
        <w:t xml:space="preserve"> </w:t>
      </w:r>
    </w:p>
    <w:sectPr w:rsidR="00AA688E" w:rsidRPr="00AA688E" w:rsidSect="00AE7140">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B36" w:rsidRDefault="00BB2B36" w:rsidP="00147C2F">
      <w:r>
        <w:separator/>
      </w:r>
    </w:p>
  </w:endnote>
  <w:endnote w:type="continuationSeparator" w:id="0">
    <w:p w:rsidR="00BB2B36" w:rsidRDefault="00BB2B36" w:rsidP="0014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307935"/>
      <w:docPartObj>
        <w:docPartGallery w:val="Page Numbers (Bottom of Page)"/>
        <w:docPartUnique/>
      </w:docPartObj>
    </w:sdtPr>
    <w:sdtEndPr>
      <w:rPr>
        <w:noProof/>
      </w:rPr>
    </w:sdtEndPr>
    <w:sdtContent>
      <w:p w:rsidR="00834B27" w:rsidRDefault="00834B27">
        <w:pPr>
          <w:pStyle w:val="Footer"/>
          <w:jc w:val="center"/>
        </w:pPr>
        <w:r>
          <w:fldChar w:fldCharType="begin"/>
        </w:r>
        <w:r>
          <w:instrText xml:space="preserve"> PAGE   \* MERGEFORMAT </w:instrText>
        </w:r>
        <w:r>
          <w:fldChar w:fldCharType="separate"/>
        </w:r>
        <w:r w:rsidR="003F7AFC">
          <w:rPr>
            <w:noProof/>
          </w:rPr>
          <w:t>1</w:t>
        </w:r>
        <w:r>
          <w:rPr>
            <w:noProof/>
          </w:rPr>
          <w:fldChar w:fldCharType="end"/>
        </w:r>
      </w:p>
    </w:sdtContent>
  </w:sdt>
  <w:p w:rsidR="00834B27" w:rsidRDefault="00834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B36" w:rsidRDefault="00BB2B36" w:rsidP="00147C2F">
      <w:r>
        <w:separator/>
      </w:r>
    </w:p>
  </w:footnote>
  <w:footnote w:type="continuationSeparator" w:id="0">
    <w:p w:rsidR="00BB2B36" w:rsidRDefault="00BB2B36" w:rsidP="00147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4AD"/>
    <w:multiLevelType w:val="hybridMultilevel"/>
    <w:tmpl w:val="95EA955C"/>
    <w:lvl w:ilvl="0" w:tplc="835C04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752FC"/>
    <w:multiLevelType w:val="hybridMultilevel"/>
    <w:tmpl w:val="61B277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27310"/>
    <w:multiLevelType w:val="hybridMultilevel"/>
    <w:tmpl w:val="9230C4AC"/>
    <w:lvl w:ilvl="0" w:tplc="6F78B52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77748"/>
    <w:multiLevelType w:val="hybridMultilevel"/>
    <w:tmpl w:val="9692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B751B"/>
    <w:multiLevelType w:val="hybridMultilevel"/>
    <w:tmpl w:val="A03A75D6"/>
    <w:lvl w:ilvl="0" w:tplc="08090017">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53F71"/>
    <w:multiLevelType w:val="hybridMultilevel"/>
    <w:tmpl w:val="C19E7B72"/>
    <w:lvl w:ilvl="0" w:tplc="3D0C81FC">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D43C6"/>
    <w:multiLevelType w:val="hybridMultilevel"/>
    <w:tmpl w:val="905C9D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D661211"/>
    <w:multiLevelType w:val="hybridMultilevel"/>
    <w:tmpl w:val="A1FA987A"/>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1EDD3770"/>
    <w:multiLevelType w:val="hybridMultilevel"/>
    <w:tmpl w:val="215AC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F697B"/>
    <w:multiLevelType w:val="hybridMultilevel"/>
    <w:tmpl w:val="DBE8D1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2315E63"/>
    <w:multiLevelType w:val="hybridMultilevel"/>
    <w:tmpl w:val="981266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E7A53"/>
    <w:multiLevelType w:val="hybridMultilevel"/>
    <w:tmpl w:val="326A7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166E61"/>
    <w:multiLevelType w:val="hybridMultilevel"/>
    <w:tmpl w:val="D79899D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672E8"/>
    <w:multiLevelType w:val="hybridMultilevel"/>
    <w:tmpl w:val="E8129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156BCE"/>
    <w:multiLevelType w:val="hybridMultilevel"/>
    <w:tmpl w:val="021652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550568E"/>
    <w:multiLevelType w:val="hybridMultilevel"/>
    <w:tmpl w:val="94C24E44"/>
    <w:lvl w:ilvl="0" w:tplc="835C04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046E16"/>
    <w:multiLevelType w:val="hybridMultilevel"/>
    <w:tmpl w:val="34F643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52351E"/>
    <w:multiLevelType w:val="hybridMultilevel"/>
    <w:tmpl w:val="5AAA7E3E"/>
    <w:lvl w:ilvl="0" w:tplc="835C04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BB3254"/>
    <w:multiLevelType w:val="hybridMultilevel"/>
    <w:tmpl w:val="D98E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A7119"/>
    <w:multiLevelType w:val="hybridMultilevel"/>
    <w:tmpl w:val="BDC23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265E3"/>
    <w:multiLevelType w:val="hybridMultilevel"/>
    <w:tmpl w:val="3FD2E296"/>
    <w:lvl w:ilvl="0" w:tplc="5A249AE8">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E941CB9"/>
    <w:multiLevelType w:val="hybridMultilevel"/>
    <w:tmpl w:val="5762B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FE72F7"/>
    <w:multiLevelType w:val="hybridMultilevel"/>
    <w:tmpl w:val="232E2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D33C23"/>
    <w:multiLevelType w:val="hybridMultilevel"/>
    <w:tmpl w:val="A14C7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F2499C"/>
    <w:multiLevelType w:val="hybridMultilevel"/>
    <w:tmpl w:val="AC780A0A"/>
    <w:lvl w:ilvl="0" w:tplc="83421A1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1169F4"/>
    <w:multiLevelType w:val="hybridMultilevel"/>
    <w:tmpl w:val="0AB4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214DF3"/>
    <w:multiLevelType w:val="hybridMultilevel"/>
    <w:tmpl w:val="DD8E135C"/>
    <w:lvl w:ilvl="0" w:tplc="08090017">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6FE566D1"/>
    <w:multiLevelType w:val="hybridMultilevel"/>
    <w:tmpl w:val="D2FE0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CD4576"/>
    <w:multiLevelType w:val="hybridMultilevel"/>
    <w:tmpl w:val="16B6BF6C"/>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281D9F"/>
    <w:multiLevelType w:val="hybridMultilevel"/>
    <w:tmpl w:val="4D529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B04674"/>
    <w:multiLevelType w:val="hybridMultilevel"/>
    <w:tmpl w:val="286C3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E65CD7"/>
    <w:multiLevelType w:val="hybridMultilevel"/>
    <w:tmpl w:val="2420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
  </w:num>
  <w:num w:numId="3">
    <w:abstractNumId w:val="5"/>
  </w:num>
  <w:num w:numId="4">
    <w:abstractNumId w:val="1"/>
  </w:num>
  <w:num w:numId="5">
    <w:abstractNumId w:val="18"/>
  </w:num>
  <w:num w:numId="6">
    <w:abstractNumId w:val="31"/>
  </w:num>
  <w:num w:numId="7">
    <w:abstractNumId w:val="17"/>
  </w:num>
  <w:num w:numId="8">
    <w:abstractNumId w:val="14"/>
  </w:num>
  <w:num w:numId="9">
    <w:abstractNumId w:val="10"/>
  </w:num>
  <w:num w:numId="10">
    <w:abstractNumId w:val="28"/>
  </w:num>
  <w:num w:numId="11">
    <w:abstractNumId w:val="22"/>
  </w:num>
  <w:num w:numId="12">
    <w:abstractNumId w:val="19"/>
  </w:num>
  <w:num w:numId="13">
    <w:abstractNumId w:val="11"/>
  </w:num>
  <w:num w:numId="14">
    <w:abstractNumId w:val="29"/>
  </w:num>
  <w:num w:numId="15">
    <w:abstractNumId w:val="12"/>
  </w:num>
  <w:num w:numId="16">
    <w:abstractNumId w:val="20"/>
  </w:num>
  <w:num w:numId="17">
    <w:abstractNumId w:val="27"/>
  </w:num>
  <w:num w:numId="18">
    <w:abstractNumId w:val="16"/>
  </w:num>
  <w:num w:numId="19">
    <w:abstractNumId w:val="23"/>
  </w:num>
  <w:num w:numId="20">
    <w:abstractNumId w:val="26"/>
  </w:num>
  <w:num w:numId="21">
    <w:abstractNumId w:val="3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6"/>
  </w:num>
  <w:num w:numId="26">
    <w:abstractNumId w:val="2"/>
  </w:num>
  <w:num w:numId="27">
    <w:abstractNumId w:val="15"/>
  </w:num>
  <w:num w:numId="28">
    <w:abstractNumId w:val="0"/>
  </w:num>
  <w:num w:numId="29">
    <w:abstractNumId w:val="24"/>
  </w:num>
  <w:num w:numId="30">
    <w:abstractNumId w:val="8"/>
  </w:num>
  <w:num w:numId="31">
    <w:abstractNumId w:val="4"/>
  </w:num>
  <w:num w:numId="32">
    <w:abstractNumId w:val="9"/>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C9"/>
    <w:rsid w:val="0000094D"/>
    <w:rsid w:val="0000477C"/>
    <w:rsid w:val="00023FF9"/>
    <w:rsid w:val="00036D4F"/>
    <w:rsid w:val="000563B2"/>
    <w:rsid w:val="000645FD"/>
    <w:rsid w:val="0008591A"/>
    <w:rsid w:val="000A332B"/>
    <w:rsid w:val="000B5C10"/>
    <w:rsid w:val="000D1880"/>
    <w:rsid w:val="000E0138"/>
    <w:rsid w:val="000E6476"/>
    <w:rsid w:val="000F10C3"/>
    <w:rsid w:val="00132F75"/>
    <w:rsid w:val="00137F73"/>
    <w:rsid w:val="00147C2F"/>
    <w:rsid w:val="00162597"/>
    <w:rsid w:val="0017234B"/>
    <w:rsid w:val="001803B4"/>
    <w:rsid w:val="001843D1"/>
    <w:rsid w:val="001866D5"/>
    <w:rsid w:val="00187FA0"/>
    <w:rsid w:val="0019490B"/>
    <w:rsid w:val="001A4DB6"/>
    <w:rsid w:val="001A5A08"/>
    <w:rsid w:val="001B405C"/>
    <w:rsid w:val="001B73C7"/>
    <w:rsid w:val="001C0288"/>
    <w:rsid w:val="001C07F0"/>
    <w:rsid w:val="001C2D42"/>
    <w:rsid w:val="001E7BF8"/>
    <w:rsid w:val="001F4573"/>
    <w:rsid w:val="00202DDF"/>
    <w:rsid w:val="002068E7"/>
    <w:rsid w:val="00211FA6"/>
    <w:rsid w:val="002159B6"/>
    <w:rsid w:val="002408F2"/>
    <w:rsid w:val="002651E4"/>
    <w:rsid w:val="002653BB"/>
    <w:rsid w:val="002655BD"/>
    <w:rsid w:val="002743C9"/>
    <w:rsid w:val="00281B3E"/>
    <w:rsid w:val="002B3574"/>
    <w:rsid w:val="002B72D3"/>
    <w:rsid w:val="002C3A58"/>
    <w:rsid w:val="002D005E"/>
    <w:rsid w:val="002D5D54"/>
    <w:rsid w:val="002D666A"/>
    <w:rsid w:val="002E15C7"/>
    <w:rsid w:val="002E4B6C"/>
    <w:rsid w:val="002E733D"/>
    <w:rsid w:val="002F590D"/>
    <w:rsid w:val="003004DB"/>
    <w:rsid w:val="00304986"/>
    <w:rsid w:val="00314A2F"/>
    <w:rsid w:val="00320081"/>
    <w:rsid w:val="00353F16"/>
    <w:rsid w:val="00357575"/>
    <w:rsid w:val="00382B9A"/>
    <w:rsid w:val="003834D8"/>
    <w:rsid w:val="003A04AC"/>
    <w:rsid w:val="003B0ED1"/>
    <w:rsid w:val="003B58C9"/>
    <w:rsid w:val="003C2873"/>
    <w:rsid w:val="003D26B5"/>
    <w:rsid w:val="003E10B4"/>
    <w:rsid w:val="003E5569"/>
    <w:rsid w:val="003E5F30"/>
    <w:rsid w:val="003E72FC"/>
    <w:rsid w:val="003E79EA"/>
    <w:rsid w:val="003F7AFC"/>
    <w:rsid w:val="00403AD4"/>
    <w:rsid w:val="004060FA"/>
    <w:rsid w:val="00414458"/>
    <w:rsid w:val="004379B8"/>
    <w:rsid w:val="00457B7E"/>
    <w:rsid w:val="00463B00"/>
    <w:rsid w:val="00466AB4"/>
    <w:rsid w:val="00475C76"/>
    <w:rsid w:val="0048076C"/>
    <w:rsid w:val="004900A4"/>
    <w:rsid w:val="00490C2E"/>
    <w:rsid w:val="004917EB"/>
    <w:rsid w:val="004A0CB8"/>
    <w:rsid w:val="004A4557"/>
    <w:rsid w:val="004B3BFA"/>
    <w:rsid w:val="004D16DC"/>
    <w:rsid w:val="004D7BD0"/>
    <w:rsid w:val="004E37F2"/>
    <w:rsid w:val="00502FB5"/>
    <w:rsid w:val="00515CDD"/>
    <w:rsid w:val="005362DF"/>
    <w:rsid w:val="00542FB0"/>
    <w:rsid w:val="00546D3D"/>
    <w:rsid w:val="00547282"/>
    <w:rsid w:val="0056314A"/>
    <w:rsid w:val="0057357E"/>
    <w:rsid w:val="00576DA4"/>
    <w:rsid w:val="00595322"/>
    <w:rsid w:val="00600783"/>
    <w:rsid w:val="00604F7C"/>
    <w:rsid w:val="00606A01"/>
    <w:rsid w:val="006209ED"/>
    <w:rsid w:val="00625174"/>
    <w:rsid w:val="00644D0B"/>
    <w:rsid w:val="00662ADD"/>
    <w:rsid w:val="00665467"/>
    <w:rsid w:val="00670C61"/>
    <w:rsid w:val="00674CD9"/>
    <w:rsid w:val="00696580"/>
    <w:rsid w:val="006A0900"/>
    <w:rsid w:val="006A3FF0"/>
    <w:rsid w:val="006B2DEE"/>
    <w:rsid w:val="006B37B7"/>
    <w:rsid w:val="006C27EE"/>
    <w:rsid w:val="006F099A"/>
    <w:rsid w:val="00705E20"/>
    <w:rsid w:val="00716FC4"/>
    <w:rsid w:val="00721977"/>
    <w:rsid w:val="00725B86"/>
    <w:rsid w:val="0073563E"/>
    <w:rsid w:val="00751686"/>
    <w:rsid w:val="00751B7E"/>
    <w:rsid w:val="0076458E"/>
    <w:rsid w:val="00774B2A"/>
    <w:rsid w:val="007802C5"/>
    <w:rsid w:val="00783EA5"/>
    <w:rsid w:val="00797956"/>
    <w:rsid w:val="007A70D6"/>
    <w:rsid w:val="007C39D7"/>
    <w:rsid w:val="007D061F"/>
    <w:rsid w:val="007E6F5D"/>
    <w:rsid w:val="00800C38"/>
    <w:rsid w:val="008033AD"/>
    <w:rsid w:val="00834B27"/>
    <w:rsid w:val="00842F9B"/>
    <w:rsid w:val="0085584F"/>
    <w:rsid w:val="00865ADB"/>
    <w:rsid w:val="008709C0"/>
    <w:rsid w:val="00883328"/>
    <w:rsid w:val="008A3476"/>
    <w:rsid w:val="008A68AD"/>
    <w:rsid w:val="008B7047"/>
    <w:rsid w:val="008C4552"/>
    <w:rsid w:val="008C4B0A"/>
    <w:rsid w:val="008C5ED0"/>
    <w:rsid w:val="008F06BF"/>
    <w:rsid w:val="008F76DD"/>
    <w:rsid w:val="009159EC"/>
    <w:rsid w:val="00927FEC"/>
    <w:rsid w:val="00935854"/>
    <w:rsid w:val="00962173"/>
    <w:rsid w:val="00971A98"/>
    <w:rsid w:val="0097422C"/>
    <w:rsid w:val="00974AE2"/>
    <w:rsid w:val="00982434"/>
    <w:rsid w:val="009833D1"/>
    <w:rsid w:val="00993A3D"/>
    <w:rsid w:val="009A14BB"/>
    <w:rsid w:val="009B1730"/>
    <w:rsid w:val="009B2D1B"/>
    <w:rsid w:val="009B5A42"/>
    <w:rsid w:val="009B625C"/>
    <w:rsid w:val="009E3CEF"/>
    <w:rsid w:val="009E4667"/>
    <w:rsid w:val="009F060B"/>
    <w:rsid w:val="009F2889"/>
    <w:rsid w:val="009F555E"/>
    <w:rsid w:val="00A36127"/>
    <w:rsid w:val="00A36CFF"/>
    <w:rsid w:val="00A404D1"/>
    <w:rsid w:val="00A4050B"/>
    <w:rsid w:val="00A46D9C"/>
    <w:rsid w:val="00A71722"/>
    <w:rsid w:val="00AA688E"/>
    <w:rsid w:val="00AB2819"/>
    <w:rsid w:val="00AC5BF9"/>
    <w:rsid w:val="00AD0AC3"/>
    <w:rsid w:val="00AD7C87"/>
    <w:rsid w:val="00AE4922"/>
    <w:rsid w:val="00AE4EC0"/>
    <w:rsid w:val="00AE7140"/>
    <w:rsid w:val="00AF7930"/>
    <w:rsid w:val="00B04D85"/>
    <w:rsid w:val="00B26D15"/>
    <w:rsid w:val="00B314BC"/>
    <w:rsid w:val="00B54911"/>
    <w:rsid w:val="00B55F87"/>
    <w:rsid w:val="00B567B3"/>
    <w:rsid w:val="00B7160A"/>
    <w:rsid w:val="00B807A2"/>
    <w:rsid w:val="00B8518E"/>
    <w:rsid w:val="00BA66F8"/>
    <w:rsid w:val="00BB18D1"/>
    <w:rsid w:val="00BB2B36"/>
    <w:rsid w:val="00BC520E"/>
    <w:rsid w:val="00BD6F99"/>
    <w:rsid w:val="00BE08DA"/>
    <w:rsid w:val="00C11966"/>
    <w:rsid w:val="00C273FF"/>
    <w:rsid w:val="00C27B2F"/>
    <w:rsid w:val="00C32FE6"/>
    <w:rsid w:val="00C719CA"/>
    <w:rsid w:val="00C72C97"/>
    <w:rsid w:val="00C760C3"/>
    <w:rsid w:val="00C85943"/>
    <w:rsid w:val="00C911CF"/>
    <w:rsid w:val="00C97BB2"/>
    <w:rsid w:val="00CA2C3A"/>
    <w:rsid w:val="00CA7578"/>
    <w:rsid w:val="00CC27D0"/>
    <w:rsid w:val="00CF0893"/>
    <w:rsid w:val="00CF2FFD"/>
    <w:rsid w:val="00CF37E1"/>
    <w:rsid w:val="00CF3F43"/>
    <w:rsid w:val="00CF54FA"/>
    <w:rsid w:val="00D022FC"/>
    <w:rsid w:val="00D02459"/>
    <w:rsid w:val="00D0291E"/>
    <w:rsid w:val="00D101DB"/>
    <w:rsid w:val="00D120AD"/>
    <w:rsid w:val="00D36800"/>
    <w:rsid w:val="00D411BF"/>
    <w:rsid w:val="00D5283A"/>
    <w:rsid w:val="00D95328"/>
    <w:rsid w:val="00DA2C6C"/>
    <w:rsid w:val="00DA6418"/>
    <w:rsid w:val="00DB58A6"/>
    <w:rsid w:val="00DC0C0B"/>
    <w:rsid w:val="00DD2152"/>
    <w:rsid w:val="00DF4A67"/>
    <w:rsid w:val="00DF5B5B"/>
    <w:rsid w:val="00E42609"/>
    <w:rsid w:val="00E44C15"/>
    <w:rsid w:val="00E568A2"/>
    <w:rsid w:val="00E57FAC"/>
    <w:rsid w:val="00E60A93"/>
    <w:rsid w:val="00E6772E"/>
    <w:rsid w:val="00EB1929"/>
    <w:rsid w:val="00EB47EB"/>
    <w:rsid w:val="00EC0666"/>
    <w:rsid w:val="00EC74E9"/>
    <w:rsid w:val="00EC7A69"/>
    <w:rsid w:val="00ED4FBC"/>
    <w:rsid w:val="00EF4609"/>
    <w:rsid w:val="00EF4998"/>
    <w:rsid w:val="00F075BA"/>
    <w:rsid w:val="00F150E4"/>
    <w:rsid w:val="00F2016F"/>
    <w:rsid w:val="00F2282F"/>
    <w:rsid w:val="00F25ECE"/>
    <w:rsid w:val="00F32EB4"/>
    <w:rsid w:val="00F70180"/>
    <w:rsid w:val="00F732D0"/>
    <w:rsid w:val="00F85F33"/>
    <w:rsid w:val="00FA52FE"/>
    <w:rsid w:val="00FA586E"/>
    <w:rsid w:val="00FB4EE9"/>
    <w:rsid w:val="00FC1F42"/>
    <w:rsid w:val="00FC44BC"/>
    <w:rsid w:val="00FC6645"/>
    <w:rsid w:val="00FD1EB6"/>
    <w:rsid w:val="00FD47E1"/>
    <w:rsid w:val="00FD72AB"/>
    <w:rsid w:val="00FD7388"/>
    <w:rsid w:val="00FF11C2"/>
    <w:rsid w:val="00FF2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DAE74-BE2B-491F-AF13-2D28AD39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C9"/>
    <w:pPr>
      <w:ind w:left="720"/>
    </w:pPr>
  </w:style>
  <w:style w:type="table" w:styleId="TableGrid">
    <w:name w:val="Table Grid"/>
    <w:basedOn w:val="TableNormal"/>
    <w:uiPriority w:val="59"/>
    <w:rsid w:val="0021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7C2F"/>
    <w:rPr>
      <w:sz w:val="20"/>
      <w:szCs w:val="20"/>
    </w:rPr>
  </w:style>
  <w:style w:type="character" w:customStyle="1" w:styleId="FootnoteTextChar">
    <w:name w:val="Footnote Text Char"/>
    <w:basedOn w:val="DefaultParagraphFont"/>
    <w:link w:val="FootnoteText"/>
    <w:uiPriority w:val="99"/>
    <w:semiHidden/>
    <w:rsid w:val="00147C2F"/>
    <w:rPr>
      <w:rFonts w:ascii="Calibri" w:hAnsi="Calibri" w:cs="Calibri"/>
      <w:sz w:val="20"/>
      <w:szCs w:val="20"/>
    </w:rPr>
  </w:style>
  <w:style w:type="character" w:styleId="FootnoteReference">
    <w:name w:val="footnote reference"/>
    <w:basedOn w:val="DefaultParagraphFont"/>
    <w:uiPriority w:val="99"/>
    <w:semiHidden/>
    <w:unhideWhenUsed/>
    <w:rsid w:val="00147C2F"/>
    <w:rPr>
      <w:vertAlign w:val="superscript"/>
    </w:rPr>
  </w:style>
  <w:style w:type="paragraph" w:styleId="Header">
    <w:name w:val="header"/>
    <w:basedOn w:val="Normal"/>
    <w:link w:val="HeaderChar"/>
    <w:uiPriority w:val="99"/>
    <w:unhideWhenUsed/>
    <w:rsid w:val="004900A4"/>
    <w:pPr>
      <w:tabs>
        <w:tab w:val="center" w:pos="4513"/>
        <w:tab w:val="right" w:pos="9026"/>
      </w:tabs>
    </w:pPr>
  </w:style>
  <w:style w:type="character" w:customStyle="1" w:styleId="HeaderChar">
    <w:name w:val="Header Char"/>
    <w:basedOn w:val="DefaultParagraphFont"/>
    <w:link w:val="Header"/>
    <w:uiPriority w:val="99"/>
    <w:rsid w:val="004900A4"/>
    <w:rPr>
      <w:rFonts w:ascii="Calibri" w:hAnsi="Calibri" w:cs="Calibri"/>
    </w:rPr>
  </w:style>
  <w:style w:type="paragraph" w:styleId="Footer">
    <w:name w:val="footer"/>
    <w:basedOn w:val="Normal"/>
    <w:link w:val="FooterChar"/>
    <w:uiPriority w:val="99"/>
    <w:unhideWhenUsed/>
    <w:rsid w:val="004900A4"/>
    <w:pPr>
      <w:tabs>
        <w:tab w:val="center" w:pos="4513"/>
        <w:tab w:val="right" w:pos="9026"/>
      </w:tabs>
    </w:pPr>
  </w:style>
  <w:style w:type="character" w:customStyle="1" w:styleId="FooterChar">
    <w:name w:val="Footer Char"/>
    <w:basedOn w:val="DefaultParagraphFont"/>
    <w:link w:val="Footer"/>
    <w:uiPriority w:val="99"/>
    <w:rsid w:val="004900A4"/>
    <w:rPr>
      <w:rFonts w:ascii="Calibri" w:hAnsi="Calibri" w:cs="Calibri"/>
    </w:rPr>
  </w:style>
  <w:style w:type="character" w:styleId="Hyperlink">
    <w:name w:val="Hyperlink"/>
    <w:basedOn w:val="DefaultParagraphFont"/>
    <w:uiPriority w:val="99"/>
    <w:unhideWhenUsed/>
    <w:rsid w:val="00CF0893"/>
    <w:rPr>
      <w:color w:val="0563C1" w:themeColor="hyperlink"/>
      <w:u w:val="single"/>
    </w:rPr>
  </w:style>
  <w:style w:type="character" w:styleId="CommentReference">
    <w:name w:val="annotation reference"/>
    <w:basedOn w:val="DefaultParagraphFont"/>
    <w:uiPriority w:val="99"/>
    <w:semiHidden/>
    <w:unhideWhenUsed/>
    <w:rsid w:val="003E5569"/>
    <w:rPr>
      <w:sz w:val="16"/>
      <w:szCs w:val="16"/>
    </w:rPr>
  </w:style>
  <w:style w:type="paragraph" w:styleId="CommentText">
    <w:name w:val="annotation text"/>
    <w:basedOn w:val="Normal"/>
    <w:link w:val="CommentTextChar"/>
    <w:uiPriority w:val="99"/>
    <w:semiHidden/>
    <w:unhideWhenUsed/>
    <w:rsid w:val="003E5569"/>
    <w:rPr>
      <w:sz w:val="20"/>
      <w:szCs w:val="20"/>
    </w:rPr>
  </w:style>
  <w:style w:type="character" w:customStyle="1" w:styleId="CommentTextChar">
    <w:name w:val="Comment Text Char"/>
    <w:basedOn w:val="DefaultParagraphFont"/>
    <w:link w:val="CommentText"/>
    <w:uiPriority w:val="99"/>
    <w:semiHidden/>
    <w:rsid w:val="003E556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5569"/>
    <w:rPr>
      <w:b/>
      <w:bCs/>
    </w:rPr>
  </w:style>
  <w:style w:type="character" w:customStyle="1" w:styleId="CommentSubjectChar">
    <w:name w:val="Comment Subject Char"/>
    <w:basedOn w:val="CommentTextChar"/>
    <w:link w:val="CommentSubject"/>
    <w:uiPriority w:val="99"/>
    <w:semiHidden/>
    <w:rsid w:val="003E5569"/>
    <w:rPr>
      <w:rFonts w:ascii="Calibri" w:hAnsi="Calibri" w:cs="Calibri"/>
      <w:b/>
      <w:bCs/>
      <w:sz w:val="20"/>
      <w:szCs w:val="20"/>
    </w:rPr>
  </w:style>
  <w:style w:type="paragraph" w:styleId="BalloonText">
    <w:name w:val="Balloon Text"/>
    <w:basedOn w:val="Normal"/>
    <w:link w:val="BalloonTextChar"/>
    <w:uiPriority w:val="99"/>
    <w:semiHidden/>
    <w:unhideWhenUsed/>
    <w:rsid w:val="003E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69"/>
    <w:rPr>
      <w:rFonts w:ascii="Segoe UI" w:hAnsi="Segoe UI" w:cs="Segoe UI"/>
      <w:sz w:val="18"/>
      <w:szCs w:val="18"/>
    </w:rPr>
  </w:style>
  <w:style w:type="paragraph" w:styleId="Revision">
    <w:name w:val="Revision"/>
    <w:hidden/>
    <w:uiPriority w:val="99"/>
    <w:semiHidden/>
    <w:rsid w:val="00036D4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3977">
      <w:bodyDiv w:val="1"/>
      <w:marLeft w:val="0"/>
      <w:marRight w:val="0"/>
      <w:marTop w:val="0"/>
      <w:marBottom w:val="0"/>
      <w:divBdr>
        <w:top w:val="none" w:sz="0" w:space="0" w:color="auto"/>
        <w:left w:val="none" w:sz="0" w:space="0" w:color="auto"/>
        <w:bottom w:val="none" w:sz="0" w:space="0" w:color="auto"/>
        <w:right w:val="none" w:sz="0" w:space="0" w:color="auto"/>
      </w:divBdr>
    </w:div>
    <w:div w:id="232813763">
      <w:bodyDiv w:val="1"/>
      <w:marLeft w:val="0"/>
      <w:marRight w:val="0"/>
      <w:marTop w:val="0"/>
      <w:marBottom w:val="0"/>
      <w:divBdr>
        <w:top w:val="none" w:sz="0" w:space="0" w:color="auto"/>
        <w:left w:val="none" w:sz="0" w:space="0" w:color="auto"/>
        <w:bottom w:val="none" w:sz="0" w:space="0" w:color="auto"/>
        <w:right w:val="none" w:sz="0" w:space="0" w:color="auto"/>
      </w:divBdr>
    </w:div>
    <w:div w:id="633801375">
      <w:bodyDiv w:val="1"/>
      <w:marLeft w:val="0"/>
      <w:marRight w:val="0"/>
      <w:marTop w:val="0"/>
      <w:marBottom w:val="0"/>
      <w:divBdr>
        <w:top w:val="none" w:sz="0" w:space="0" w:color="auto"/>
        <w:left w:val="none" w:sz="0" w:space="0" w:color="auto"/>
        <w:bottom w:val="none" w:sz="0" w:space="0" w:color="auto"/>
        <w:right w:val="none" w:sz="0" w:space="0" w:color="auto"/>
      </w:divBdr>
    </w:div>
    <w:div w:id="1239096483">
      <w:bodyDiv w:val="1"/>
      <w:marLeft w:val="0"/>
      <w:marRight w:val="0"/>
      <w:marTop w:val="0"/>
      <w:marBottom w:val="0"/>
      <w:divBdr>
        <w:top w:val="none" w:sz="0" w:space="0" w:color="auto"/>
        <w:left w:val="none" w:sz="0" w:space="0" w:color="auto"/>
        <w:bottom w:val="none" w:sz="0" w:space="0" w:color="auto"/>
        <w:right w:val="none" w:sz="0" w:space="0" w:color="auto"/>
      </w:divBdr>
    </w:div>
    <w:div w:id="1945765877">
      <w:bodyDiv w:val="1"/>
      <w:marLeft w:val="0"/>
      <w:marRight w:val="0"/>
      <w:marTop w:val="0"/>
      <w:marBottom w:val="0"/>
      <w:divBdr>
        <w:top w:val="none" w:sz="0" w:space="0" w:color="auto"/>
        <w:left w:val="none" w:sz="0" w:space="0" w:color="auto"/>
        <w:bottom w:val="none" w:sz="0" w:space="0" w:color="auto"/>
        <w:right w:val="none" w:sz="0" w:space="0" w:color="auto"/>
      </w:divBdr>
    </w:div>
    <w:div w:id="20959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EA4FA-CD70-4F21-B1EA-9621BF28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Ginns, Hayden</dc:creator>
  <cp:keywords/>
  <dc:description/>
  <cp:lastModifiedBy>Christopher, Sarah</cp:lastModifiedBy>
  <cp:revision>1</cp:revision>
  <dcterms:created xsi:type="dcterms:W3CDTF">2021-06-29T17:10:00Z</dcterms:created>
  <dcterms:modified xsi:type="dcterms:W3CDTF">2021-06-29T17:10:00Z</dcterms:modified>
</cp:coreProperties>
</file>