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5" w:rsidRDefault="00CD7F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C85EC30" wp14:editId="78C2B7B0">
            <wp:extent cx="18859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89" cy="5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63" w:rsidRDefault="0045580B">
      <w:pPr>
        <w:rPr>
          <w:rFonts w:ascii="Arial" w:hAnsi="Arial" w:cs="Arial"/>
          <w:b/>
          <w:sz w:val="32"/>
          <w:szCs w:val="32"/>
        </w:rPr>
      </w:pPr>
      <w:r w:rsidRPr="00CD7FF5">
        <w:rPr>
          <w:rFonts w:ascii="Arial" w:hAnsi="Arial" w:cs="Arial"/>
          <w:b/>
          <w:sz w:val="32"/>
          <w:szCs w:val="32"/>
        </w:rPr>
        <w:t>Apprenticeship and Traineeship</w:t>
      </w:r>
      <w:r w:rsidR="00A20223" w:rsidRPr="00CD7FF5">
        <w:rPr>
          <w:rFonts w:ascii="Arial" w:hAnsi="Arial" w:cs="Arial"/>
          <w:b/>
          <w:sz w:val="32"/>
          <w:szCs w:val="32"/>
        </w:rPr>
        <w:t xml:space="preserve"> Action Plan</w:t>
      </w:r>
      <w:r w:rsidR="00C4110F">
        <w:rPr>
          <w:rFonts w:ascii="Arial" w:hAnsi="Arial" w:cs="Arial"/>
          <w:b/>
          <w:sz w:val="32"/>
          <w:szCs w:val="32"/>
        </w:rPr>
        <w:t xml:space="preserve"> </w:t>
      </w:r>
      <w:r w:rsidR="00C32634">
        <w:rPr>
          <w:rFonts w:ascii="Arial" w:hAnsi="Arial" w:cs="Arial"/>
          <w:b/>
          <w:sz w:val="32"/>
          <w:szCs w:val="32"/>
        </w:rPr>
        <w:t xml:space="preserve">- </w:t>
      </w:r>
      <w:r w:rsidR="00361D0F">
        <w:rPr>
          <w:rFonts w:ascii="Arial" w:hAnsi="Arial" w:cs="Arial"/>
          <w:b/>
          <w:sz w:val="32"/>
          <w:szCs w:val="32"/>
        </w:rPr>
        <w:t xml:space="preserve">November 18 </w:t>
      </w:r>
    </w:p>
    <w:p w:rsidR="0088118E" w:rsidRPr="008473ED" w:rsidRDefault="0088118E" w:rsidP="0088118E">
      <w:pPr>
        <w:rPr>
          <w:rFonts w:ascii="Arial" w:hAnsi="Arial" w:cs="Arial"/>
          <w:b/>
          <w:sz w:val="32"/>
          <w:szCs w:val="32"/>
        </w:rPr>
      </w:pPr>
      <w:r w:rsidRPr="008473ED">
        <w:rPr>
          <w:rFonts w:ascii="Arial" w:hAnsi="Arial" w:cs="Arial"/>
          <w:b/>
          <w:sz w:val="32"/>
          <w:szCs w:val="32"/>
        </w:rPr>
        <w:t xml:space="preserve">Apprenticeship Strategy </w:t>
      </w:r>
    </w:p>
    <w:p w:rsidR="0088118E" w:rsidRPr="008473ED" w:rsidRDefault="0088118E" w:rsidP="0088118E">
      <w:pPr>
        <w:rPr>
          <w:rFonts w:ascii="Arial" w:hAnsi="Arial" w:cs="Arial"/>
          <w:b/>
          <w:sz w:val="24"/>
          <w:szCs w:val="24"/>
        </w:rPr>
      </w:pPr>
      <w:r w:rsidRPr="008473ED">
        <w:rPr>
          <w:rFonts w:ascii="Arial" w:hAnsi="Arial" w:cs="Arial"/>
          <w:b/>
          <w:sz w:val="24"/>
          <w:szCs w:val="24"/>
        </w:rPr>
        <w:t xml:space="preserve">Introduction and Context </w:t>
      </w:r>
    </w:p>
    <w:p w:rsidR="00B5096A" w:rsidRDefault="00B5096A">
      <w:pPr>
        <w:rPr>
          <w:rFonts w:ascii="Arial" w:hAnsi="Arial" w:cs="Arial"/>
          <w:b/>
          <w:sz w:val="28"/>
          <w:szCs w:val="28"/>
        </w:rPr>
      </w:pPr>
      <w:r w:rsidRPr="00CD7FF5">
        <w:rPr>
          <w:rFonts w:ascii="Arial" w:hAnsi="Arial" w:cs="Arial"/>
          <w:b/>
          <w:sz w:val="28"/>
          <w:szCs w:val="28"/>
        </w:rPr>
        <w:t>Key Themes</w:t>
      </w:r>
    </w:p>
    <w:p w:rsidR="0062118D" w:rsidRPr="00B32C50" w:rsidRDefault="0062118D" w:rsidP="0062118D">
      <w:pPr>
        <w:rPr>
          <w:rFonts w:ascii="Arial" w:hAnsi="Arial" w:cs="Arial"/>
          <w:sz w:val="24"/>
          <w:szCs w:val="24"/>
        </w:rPr>
      </w:pPr>
      <w:r w:rsidRPr="00B32C50">
        <w:rPr>
          <w:rFonts w:ascii="Arial" w:hAnsi="Arial" w:cs="Arial"/>
          <w:sz w:val="24"/>
          <w:szCs w:val="24"/>
        </w:rPr>
        <w:t xml:space="preserve">This document sets out a strategy for how PCC’s Education Service, Regeneration Directorate and </w:t>
      </w:r>
      <w:r w:rsidRPr="00B32C50">
        <w:rPr>
          <w:rFonts w:ascii="Arial" w:hAnsi="Arial" w:cs="Arial"/>
          <w:sz w:val="24"/>
          <w:szCs w:val="24"/>
          <w:lang w:eastAsia="en-GB"/>
        </w:rPr>
        <w:t xml:space="preserve">HR Learning and Development </w:t>
      </w:r>
      <w:r w:rsidRPr="00B32C50">
        <w:rPr>
          <w:rFonts w:ascii="Arial" w:hAnsi="Arial" w:cs="Arial"/>
          <w:sz w:val="24"/>
          <w:szCs w:val="24"/>
        </w:rPr>
        <w:t>can work together to develop opportunities as part of a wider vision for apprenticeships in Portsmouth.   The document brings together key areas of work with schools, post-16 education and training providers, employers, PCC staff and other stakeholders.</w:t>
      </w:r>
    </w:p>
    <w:p w:rsidR="006E1B1C" w:rsidRPr="006E1B1C" w:rsidRDefault="00B5096A">
      <w:pPr>
        <w:rPr>
          <w:rFonts w:ascii="Arial" w:hAnsi="Arial" w:cs="Arial"/>
          <w:b/>
          <w:sz w:val="24"/>
          <w:szCs w:val="24"/>
        </w:rPr>
      </w:pPr>
      <w:r w:rsidRPr="006E1B1C">
        <w:rPr>
          <w:rFonts w:ascii="Arial" w:hAnsi="Arial" w:cs="Arial"/>
          <w:b/>
          <w:sz w:val="24"/>
          <w:szCs w:val="24"/>
        </w:rPr>
        <w:t>Promoting opportunities and raising awareness of apprenticeshi</w:t>
      </w:r>
      <w:r w:rsidR="005F3CEA" w:rsidRPr="006E1B1C">
        <w:rPr>
          <w:rFonts w:ascii="Arial" w:hAnsi="Arial" w:cs="Arial"/>
          <w:b/>
          <w:sz w:val="24"/>
          <w:szCs w:val="24"/>
        </w:rPr>
        <w:t>p</w:t>
      </w:r>
      <w:r w:rsidRPr="006E1B1C">
        <w:rPr>
          <w:rFonts w:ascii="Arial" w:hAnsi="Arial" w:cs="Arial"/>
          <w:b/>
          <w:sz w:val="24"/>
          <w:szCs w:val="24"/>
        </w:rPr>
        <w:t xml:space="preserve"> opportunities with young people, parents, and schools. </w:t>
      </w:r>
    </w:p>
    <w:p w:rsidR="00B5096A" w:rsidRDefault="00B50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vital to raise the profile of apprenticeships as an aspirational progression choice and a viable alternative to higher education.</w:t>
      </w:r>
      <w:r w:rsidR="005F3CEA">
        <w:rPr>
          <w:rFonts w:ascii="Arial" w:hAnsi="Arial" w:cs="Arial"/>
          <w:sz w:val="24"/>
          <w:szCs w:val="24"/>
        </w:rPr>
        <w:t xml:space="preserve">  Training providers indicate that there is often a lack of applican</w:t>
      </w:r>
      <w:r w:rsidR="006E1B1C">
        <w:rPr>
          <w:rFonts w:ascii="Arial" w:hAnsi="Arial" w:cs="Arial"/>
          <w:sz w:val="24"/>
          <w:szCs w:val="24"/>
        </w:rPr>
        <w:t xml:space="preserve">ts for apprenticeship vacancies. </w:t>
      </w:r>
      <w:r w:rsidR="00A74263">
        <w:rPr>
          <w:rFonts w:ascii="Arial" w:hAnsi="Arial" w:cs="Arial"/>
          <w:sz w:val="24"/>
          <w:szCs w:val="24"/>
        </w:rPr>
        <w:t xml:space="preserve"> Within this theme it is important to deliver accessible labour market information to ensure young people understand where the </w:t>
      </w:r>
      <w:r w:rsidR="00083CC3">
        <w:rPr>
          <w:rFonts w:ascii="Arial" w:hAnsi="Arial" w:cs="Arial"/>
          <w:sz w:val="24"/>
          <w:szCs w:val="24"/>
        </w:rPr>
        <w:t xml:space="preserve">current and </w:t>
      </w:r>
      <w:r w:rsidR="00A74263">
        <w:rPr>
          <w:rFonts w:ascii="Arial" w:hAnsi="Arial" w:cs="Arial"/>
          <w:sz w:val="24"/>
          <w:szCs w:val="24"/>
        </w:rPr>
        <w:t xml:space="preserve">future </w:t>
      </w:r>
      <w:r w:rsidR="00083CC3">
        <w:rPr>
          <w:rFonts w:ascii="Arial" w:hAnsi="Arial" w:cs="Arial"/>
          <w:sz w:val="24"/>
          <w:szCs w:val="24"/>
        </w:rPr>
        <w:t xml:space="preserve">job </w:t>
      </w:r>
      <w:r w:rsidR="00A74263">
        <w:rPr>
          <w:rFonts w:ascii="Arial" w:hAnsi="Arial" w:cs="Arial"/>
          <w:sz w:val="24"/>
          <w:szCs w:val="24"/>
        </w:rPr>
        <w:t>opportunities will be</w:t>
      </w:r>
      <w:r w:rsidR="00083CC3">
        <w:rPr>
          <w:rFonts w:ascii="Arial" w:hAnsi="Arial" w:cs="Arial"/>
          <w:sz w:val="24"/>
          <w:szCs w:val="24"/>
        </w:rPr>
        <w:t xml:space="preserve"> and how apprenticeship pathways can help young people fulfil their career ambitions</w:t>
      </w:r>
      <w:r w:rsidR="00A74263">
        <w:rPr>
          <w:rFonts w:ascii="Arial" w:hAnsi="Arial" w:cs="Arial"/>
          <w:sz w:val="24"/>
          <w:szCs w:val="24"/>
        </w:rPr>
        <w:t xml:space="preserve">. </w:t>
      </w:r>
      <w:r w:rsidR="006E1B1C">
        <w:rPr>
          <w:rFonts w:ascii="Arial" w:hAnsi="Arial" w:cs="Arial"/>
          <w:sz w:val="24"/>
          <w:szCs w:val="24"/>
        </w:rPr>
        <w:t xml:space="preserve"> The quality of and availability of apprenticeship Information, Advice and Guidance (IAG) is vital.</w:t>
      </w:r>
      <w:r w:rsidR="006B11E0">
        <w:rPr>
          <w:rFonts w:ascii="Arial" w:hAnsi="Arial" w:cs="Arial"/>
          <w:sz w:val="24"/>
          <w:szCs w:val="24"/>
        </w:rPr>
        <w:t xml:space="preserve">  Engaging with key stakeholders is central to this process - ensuring that parents, school staff and IAG staff understand and can explain Apprenticeships to young people.</w:t>
      </w:r>
    </w:p>
    <w:p w:rsidR="009F4F1E" w:rsidRDefault="009F4F1E" w:rsidP="009F4F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Developing and </w:t>
      </w:r>
      <w:r w:rsidR="00083CC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romoting </w:t>
      </w:r>
      <w:r w:rsidR="00283365">
        <w:rPr>
          <w:rFonts w:ascii="Arial" w:hAnsi="Arial" w:cs="Arial"/>
          <w:b/>
          <w:sz w:val="24"/>
          <w:szCs w:val="24"/>
        </w:rPr>
        <w:t>traineeships</w:t>
      </w:r>
    </w:p>
    <w:p w:rsidR="009F4F1E" w:rsidRDefault="009F4F1E" w:rsidP="009F4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young people who do not have the entry qualifications or who are not ready to undertake an apprenticeship - traineeships offer a route for development and progression.   Further work needs to be done to increase the numbers of employers offering traineeships as a route to employment and training.  For many young people finance is a barrier for young people who wish to undertake a traineeship. PCC ha</w:t>
      </w:r>
      <w:r w:rsidR="00083C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secured an ESF project to offer IAG and bursary support for young people undertaking a traineeship.  This project will be in place until</w:t>
      </w:r>
      <w:r w:rsidR="00361D0F">
        <w:rPr>
          <w:rFonts w:ascii="Arial" w:hAnsi="Arial" w:cs="Arial"/>
          <w:sz w:val="24"/>
          <w:szCs w:val="24"/>
        </w:rPr>
        <w:t xml:space="preserve"> March 2019</w:t>
      </w:r>
      <w:r>
        <w:rPr>
          <w:rFonts w:ascii="Arial" w:hAnsi="Arial" w:cs="Arial"/>
          <w:sz w:val="24"/>
          <w:szCs w:val="24"/>
        </w:rPr>
        <w:t>.</w:t>
      </w:r>
    </w:p>
    <w:p w:rsidR="00AE005B" w:rsidRDefault="00AE005B" w:rsidP="009F4F1E">
      <w:pPr>
        <w:rPr>
          <w:rFonts w:ascii="Arial" w:hAnsi="Arial" w:cs="Arial"/>
          <w:sz w:val="24"/>
          <w:szCs w:val="24"/>
        </w:rPr>
      </w:pPr>
    </w:p>
    <w:p w:rsidR="00AE005B" w:rsidRDefault="00AE005B" w:rsidP="009F4F1E">
      <w:pPr>
        <w:rPr>
          <w:rFonts w:ascii="Arial" w:hAnsi="Arial" w:cs="Arial"/>
          <w:sz w:val="24"/>
          <w:szCs w:val="24"/>
        </w:rPr>
      </w:pPr>
    </w:p>
    <w:p w:rsidR="00C32634" w:rsidRPr="006E1B1C" w:rsidRDefault="00C32634" w:rsidP="00C32634">
      <w:pPr>
        <w:rPr>
          <w:rFonts w:ascii="Arial" w:hAnsi="Arial" w:cs="Arial"/>
          <w:b/>
          <w:sz w:val="24"/>
          <w:szCs w:val="24"/>
        </w:rPr>
      </w:pPr>
      <w:r w:rsidRPr="006E1B1C">
        <w:rPr>
          <w:rFonts w:ascii="Arial" w:hAnsi="Arial" w:cs="Arial"/>
          <w:b/>
          <w:sz w:val="24"/>
          <w:szCs w:val="24"/>
        </w:rPr>
        <w:t>Engaging employers</w:t>
      </w:r>
    </w:p>
    <w:p w:rsidR="00C32634" w:rsidRPr="00C32634" w:rsidRDefault="00C32634" w:rsidP="00C3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still work to be done in engaging employers, particularly SMEs.  Changes to frameworks, funding and the </w:t>
      </w:r>
      <w:r w:rsidR="00083CC3">
        <w:rPr>
          <w:rFonts w:ascii="Arial" w:hAnsi="Arial" w:cs="Arial"/>
          <w:sz w:val="24"/>
          <w:szCs w:val="24"/>
        </w:rPr>
        <w:t xml:space="preserve">apprenticeship </w:t>
      </w:r>
      <w:r>
        <w:rPr>
          <w:rFonts w:ascii="Arial" w:hAnsi="Arial" w:cs="Arial"/>
          <w:sz w:val="24"/>
          <w:szCs w:val="24"/>
        </w:rPr>
        <w:t xml:space="preserve">levy make it complicated for employers and there is a need for support with information and practical help to develop apprenticeships within organisations. Our economic growth team now have a key objective to support skills for economic growth with our employers. </w:t>
      </w:r>
      <w:r w:rsidRPr="00C32634">
        <w:rPr>
          <w:rFonts w:ascii="Arial" w:hAnsi="Arial" w:cs="Arial"/>
          <w:sz w:val="24"/>
          <w:szCs w:val="24"/>
        </w:rPr>
        <w:t xml:space="preserve">This support will not only serve to engage employers, but </w:t>
      </w:r>
      <w:r w:rsidR="00083CC3">
        <w:rPr>
          <w:rFonts w:ascii="Arial" w:hAnsi="Arial" w:cs="Arial"/>
          <w:sz w:val="24"/>
          <w:szCs w:val="24"/>
        </w:rPr>
        <w:t xml:space="preserve">also </w:t>
      </w:r>
      <w:r w:rsidRPr="00C32634">
        <w:rPr>
          <w:rFonts w:ascii="Arial" w:hAnsi="Arial" w:cs="Arial"/>
          <w:sz w:val="24"/>
          <w:szCs w:val="24"/>
        </w:rPr>
        <w:t xml:space="preserve">ensure that apprenticeship completion </w:t>
      </w:r>
      <w:r w:rsidR="00083CC3">
        <w:rPr>
          <w:rFonts w:ascii="Arial" w:hAnsi="Arial" w:cs="Arial"/>
          <w:sz w:val="24"/>
          <w:szCs w:val="24"/>
        </w:rPr>
        <w:t xml:space="preserve">rates are improved building on the </w:t>
      </w:r>
      <w:r w:rsidRPr="00C32634">
        <w:rPr>
          <w:rFonts w:ascii="Arial" w:hAnsi="Arial" w:cs="Arial"/>
          <w:sz w:val="24"/>
          <w:szCs w:val="24"/>
        </w:rPr>
        <w:t xml:space="preserve">number of apprenticeship start figures in the City. </w:t>
      </w:r>
      <w:r w:rsidR="00C51C35">
        <w:rPr>
          <w:rFonts w:ascii="Arial" w:hAnsi="Arial" w:cs="Arial"/>
          <w:sz w:val="24"/>
          <w:szCs w:val="24"/>
        </w:rPr>
        <w:t>The development of the Solent Apprenticeship Hub will support this work.</w:t>
      </w:r>
    </w:p>
    <w:p w:rsidR="00F4114C" w:rsidRDefault="00F4114C">
      <w:pPr>
        <w:rPr>
          <w:rFonts w:ascii="Arial" w:hAnsi="Arial" w:cs="Arial"/>
          <w:b/>
          <w:sz w:val="24"/>
          <w:szCs w:val="24"/>
        </w:rPr>
      </w:pPr>
      <w:r w:rsidRPr="00B32C50">
        <w:rPr>
          <w:rFonts w:ascii="Arial" w:hAnsi="Arial" w:cs="Arial"/>
          <w:b/>
          <w:sz w:val="24"/>
          <w:szCs w:val="24"/>
        </w:rPr>
        <w:t>Shaping provision to meet future skills needs</w:t>
      </w:r>
    </w:p>
    <w:p w:rsidR="00DF026B" w:rsidRDefault="00A74263" w:rsidP="00AB6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skills needs and ensuring sufficient provision of advanced and </w:t>
      </w:r>
      <w:r w:rsidR="004C5C6A">
        <w:rPr>
          <w:rFonts w:ascii="Arial" w:hAnsi="Arial" w:cs="Arial"/>
          <w:sz w:val="24"/>
          <w:szCs w:val="24"/>
        </w:rPr>
        <w:t>higher lev</w:t>
      </w:r>
      <w:r w:rsidR="009F12F7">
        <w:rPr>
          <w:rFonts w:ascii="Arial" w:hAnsi="Arial" w:cs="Arial"/>
          <w:sz w:val="24"/>
          <w:szCs w:val="24"/>
        </w:rPr>
        <w:t>el apprenticeships in key</w:t>
      </w:r>
      <w:r w:rsidR="004C5C6A">
        <w:rPr>
          <w:rFonts w:ascii="Arial" w:hAnsi="Arial" w:cs="Arial"/>
          <w:sz w:val="24"/>
          <w:szCs w:val="24"/>
        </w:rPr>
        <w:t xml:space="preserve"> sectors are</w:t>
      </w:r>
      <w:r>
        <w:rPr>
          <w:rFonts w:ascii="Arial" w:hAnsi="Arial" w:cs="Arial"/>
          <w:sz w:val="24"/>
          <w:szCs w:val="24"/>
        </w:rPr>
        <w:t xml:space="preserve"> vital to growth.  </w:t>
      </w:r>
    </w:p>
    <w:p w:rsidR="00B32C50" w:rsidRDefault="00B32C50" w:rsidP="00AB6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6624" w:rsidRPr="00B32C50" w:rsidRDefault="0042726B" w:rsidP="00281D89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B32C50">
        <w:rPr>
          <w:rFonts w:ascii="Arial" w:hAnsi="Arial" w:cs="Arial"/>
          <w:b/>
        </w:rPr>
        <w:t>Management and review of strategy:</w:t>
      </w:r>
    </w:p>
    <w:tbl>
      <w:tblPr>
        <w:tblStyle w:val="TableGrid"/>
        <w:tblW w:w="14067" w:type="dxa"/>
        <w:jc w:val="center"/>
        <w:tblInd w:w="-492" w:type="dxa"/>
        <w:tblLayout w:type="fixed"/>
        <w:tblLook w:val="04A0" w:firstRow="1" w:lastRow="0" w:firstColumn="1" w:lastColumn="0" w:noHBand="0" w:noVBand="1"/>
      </w:tblPr>
      <w:tblGrid>
        <w:gridCol w:w="742"/>
        <w:gridCol w:w="2552"/>
        <w:gridCol w:w="4677"/>
        <w:gridCol w:w="993"/>
        <w:gridCol w:w="850"/>
        <w:gridCol w:w="1559"/>
        <w:gridCol w:w="1276"/>
        <w:gridCol w:w="1418"/>
      </w:tblGrid>
      <w:tr w:rsidR="00D5131D" w:rsidRPr="00B32C50" w:rsidTr="00B32C50">
        <w:trPr>
          <w:jc w:val="center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D5131D" w:rsidRPr="00B32C50" w:rsidRDefault="00D5131D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5131D" w:rsidRPr="00B32C50" w:rsidRDefault="00D5131D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Recommendation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5131D" w:rsidRPr="00B32C50" w:rsidRDefault="00D5131D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Key Actions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131D" w:rsidRPr="00B32C50" w:rsidRDefault="00D5131D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Lead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5131D" w:rsidRPr="00B32C50" w:rsidRDefault="00D5131D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5131D" w:rsidRPr="00B32C50" w:rsidRDefault="00D5131D" w:rsidP="00E135D8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 xml:space="preserve">Target date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5131D" w:rsidRPr="00B32C50" w:rsidRDefault="00EA0A7F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Potential Issues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5131D" w:rsidRPr="00B32C50" w:rsidRDefault="00D5131D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Progress</w:t>
            </w:r>
          </w:p>
        </w:tc>
      </w:tr>
      <w:tr w:rsidR="00D5131D" w:rsidRPr="00B32C50" w:rsidTr="00B32C50">
        <w:trPr>
          <w:jc w:val="center"/>
        </w:trPr>
        <w:tc>
          <w:tcPr>
            <w:tcW w:w="742" w:type="dxa"/>
          </w:tcPr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Action Plan will be reviewed and monitored by the Post-16 Forum</w:t>
            </w:r>
          </w:p>
          <w:p w:rsidR="002F3880" w:rsidRPr="00B32C50" w:rsidRDefault="002F3880" w:rsidP="00B32C50">
            <w:pPr>
              <w:rPr>
                <w:rFonts w:ascii="Arial" w:hAnsi="Arial" w:cs="Arial"/>
                <w:szCs w:val="24"/>
              </w:rPr>
            </w:pPr>
          </w:p>
          <w:p w:rsidR="002F3880" w:rsidRPr="00B32C50" w:rsidRDefault="002F3880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Action plan progress to be reviewed in October 18, January 19 and June 19</w:t>
            </w:r>
          </w:p>
          <w:p w:rsidR="004C6FA4" w:rsidRPr="00B32C50" w:rsidRDefault="004C6FA4" w:rsidP="00B32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7" w:type="dxa"/>
          </w:tcPr>
          <w:p w:rsidR="00281D89" w:rsidRPr="00B32C50" w:rsidRDefault="00281D89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 xml:space="preserve">Post-16 Forum have agreed to Action Plan monitoring </w:t>
            </w: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AP</w:t>
            </w: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Sept 18</w:t>
            </w:r>
          </w:p>
        </w:tc>
        <w:tc>
          <w:tcPr>
            <w:tcW w:w="1559" w:type="dxa"/>
          </w:tcPr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Ongoing</w:t>
            </w: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Actioned</w:t>
            </w: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  <w:p w:rsidR="00D5131D" w:rsidRPr="00B32C50" w:rsidRDefault="00D5131D" w:rsidP="00B32C5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81D89" w:rsidRDefault="00281D89">
      <w:pPr>
        <w:rPr>
          <w:rFonts w:ascii="Arial" w:hAnsi="Arial" w:cs="Arial"/>
          <w:b/>
          <w:sz w:val="24"/>
          <w:szCs w:val="24"/>
        </w:rPr>
      </w:pPr>
    </w:p>
    <w:p w:rsidR="001038BD" w:rsidRPr="00B32C50" w:rsidRDefault="000537B3" w:rsidP="00281D89">
      <w:pPr>
        <w:ind w:left="284" w:hanging="284"/>
        <w:rPr>
          <w:rFonts w:ascii="Arial" w:hAnsi="Arial" w:cs="Arial"/>
          <w:b/>
          <w:szCs w:val="24"/>
        </w:rPr>
      </w:pPr>
      <w:r w:rsidRPr="00B32C50">
        <w:rPr>
          <w:rFonts w:ascii="Arial" w:hAnsi="Arial" w:cs="Arial"/>
          <w:b/>
          <w:szCs w:val="24"/>
        </w:rPr>
        <w:t xml:space="preserve">B) </w:t>
      </w:r>
      <w:r w:rsidR="001038BD" w:rsidRPr="00B32C50">
        <w:rPr>
          <w:rFonts w:ascii="Arial" w:hAnsi="Arial" w:cs="Arial"/>
          <w:b/>
          <w:szCs w:val="24"/>
        </w:rPr>
        <w:t xml:space="preserve">Promoting opportunities and raising awareness of apprenticeship opportunities with young people, parents, and schools. </w:t>
      </w:r>
    </w:p>
    <w:tbl>
      <w:tblPr>
        <w:tblStyle w:val="TableGrid"/>
        <w:tblW w:w="1435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732"/>
        <w:gridCol w:w="4497"/>
        <w:gridCol w:w="993"/>
        <w:gridCol w:w="850"/>
        <w:gridCol w:w="1559"/>
        <w:gridCol w:w="1560"/>
        <w:gridCol w:w="1314"/>
      </w:tblGrid>
      <w:tr w:rsidR="00557CCE" w:rsidRPr="00B32C50" w:rsidTr="00B32C50">
        <w:trPr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Recommendation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Key Actions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Lead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E135D8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 xml:space="preserve">Target date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Potential Issues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Progress</w:t>
            </w:r>
          </w:p>
        </w:tc>
      </w:tr>
      <w:tr w:rsidR="00557CCE" w:rsidRPr="00B32C50" w:rsidTr="00B32C50">
        <w:trPr>
          <w:jc w:val="center"/>
        </w:trPr>
        <w:tc>
          <w:tcPr>
            <w:tcW w:w="851" w:type="dxa"/>
          </w:tcPr>
          <w:p w:rsidR="00557CCE" w:rsidRPr="00B32C50" w:rsidRDefault="00557CCE" w:rsidP="003E558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32" w:type="dxa"/>
          </w:tcPr>
          <w:p w:rsidR="00557CCE" w:rsidRPr="00B32C50" w:rsidRDefault="00557CCE" w:rsidP="00361D0F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ASK  Programme</w:t>
            </w:r>
          </w:p>
          <w:p w:rsidR="00557CCE" w:rsidRPr="00B32C50" w:rsidRDefault="00557CCE" w:rsidP="00361D0F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61D0F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Work with ALPHI to support delivery of Apprenticeship Support and Knowledge</w:t>
            </w:r>
          </w:p>
          <w:p w:rsidR="00557CCE" w:rsidRPr="00B32C50" w:rsidRDefault="00557CCE" w:rsidP="005112AA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(ASK) programme in Portsmouth secondary schools.</w:t>
            </w:r>
            <w:r w:rsidRPr="00B32C50">
              <w:rPr>
                <w:rFonts w:ascii="Arial" w:hAnsi="Arial" w:cs="Arial"/>
                <w:szCs w:val="24"/>
              </w:rPr>
              <w:br/>
              <w:t>ALPHI have contract to delivery this programme in the local area.</w:t>
            </w:r>
          </w:p>
        </w:tc>
        <w:tc>
          <w:tcPr>
            <w:tcW w:w="4497" w:type="dxa"/>
          </w:tcPr>
          <w:p w:rsidR="00281D89" w:rsidRPr="00B32C50" w:rsidRDefault="00281D89" w:rsidP="003E5581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 xml:space="preserve">Invite ASK Lead to present at CEIAG </w:t>
            </w: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(Careers Education, Information, Advice and Guidance meeting.</w:t>
            </w: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Monitor take up of programme.</w:t>
            </w: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AP</w:t>
            </w: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A25B37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AP</w:t>
            </w:r>
          </w:p>
        </w:tc>
        <w:tc>
          <w:tcPr>
            <w:tcW w:w="850" w:type="dxa"/>
          </w:tcPr>
          <w:p w:rsidR="00557CCE" w:rsidRPr="00B32C50" w:rsidRDefault="00557CCE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Sept</w:t>
            </w: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559" w:type="dxa"/>
          </w:tcPr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July 19</w:t>
            </w:r>
          </w:p>
          <w:p w:rsidR="00557CCE" w:rsidRPr="00B32C50" w:rsidRDefault="00557CCE" w:rsidP="00D5131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7CCE" w:rsidRPr="00B32C50" w:rsidRDefault="00557CCE" w:rsidP="003E558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14" w:type="dxa"/>
          </w:tcPr>
          <w:p w:rsidR="00281D89" w:rsidRPr="00B32C50" w:rsidRDefault="00281D89" w:rsidP="00A25B37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Actioned - presentation took place at September CEIAG</w:t>
            </w: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meeting</w:t>
            </w:r>
          </w:p>
          <w:p w:rsidR="00557CCE" w:rsidRPr="00B32C50" w:rsidRDefault="00557CCE" w:rsidP="00A25B37">
            <w:pPr>
              <w:rPr>
                <w:rFonts w:ascii="Arial" w:hAnsi="Arial" w:cs="Arial"/>
                <w:b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b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b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32C50" w:rsidRDefault="00B32C50">
      <w:r>
        <w:br w:type="page"/>
      </w:r>
    </w:p>
    <w:tbl>
      <w:tblPr>
        <w:tblStyle w:val="TableGrid"/>
        <w:tblW w:w="1478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0"/>
        <w:gridCol w:w="4342"/>
        <w:gridCol w:w="155"/>
        <w:gridCol w:w="993"/>
        <w:gridCol w:w="850"/>
        <w:gridCol w:w="1559"/>
        <w:gridCol w:w="1314"/>
        <w:gridCol w:w="246"/>
        <w:gridCol w:w="1314"/>
        <w:gridCol w:w="425"/>
      </w:tblGrid>
      <w:tr w:rsidR="00557CCE" w:rsidRPr="00B32C50" w:rsidTr="00B32C50">
        <w:trPr>
          <w:gridAfter w:val="1"/>
          <w:wAfter w:w="425" w:type="dxa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2C50" w:rsidRDefault="00B32C50" w:rsidP="00B32C50">
            <w:pPr>
              <w:rPr>
                <w:rFonts w:ascii="Arial" w:hAnsi="Arial" w:cs="Arial"/>
                <w:b/>
                <w:szCs w:val="24"/>
              </w:rPr>
            </w:pPr>
          </w:p>
          <w:p w:rsidR="00557CCE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Item</w:t>
            </w:r>
          </w:p>
          <w:p w:rsidR="00B32C50" w:rsidRPr="00B32C50" w:rsidRDefault="00B32C50" w:rsidP="00B32C5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32" w:type="dxa"/>
            <w:gridSpan w:val="2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Activity</w:t>
            </w:r>
          </w:p>
        </w:tc>
        <w:tc>
          <w:tcPr>
            <w:tcW w:w="4497" w:type="dxa"/>
            <w:gridSpan w:val="2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Key Actions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Lead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E135D8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Target date</w:t>
            </w:r>
            <w:r w:rsidR="00B32C5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Potential Issues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Progress</w:t>
            </w:r>
          </w:p>
        </w:tc>
      </w:tr>
      <w:tr w:rsidR="00557CCE" w:rsidRPr="00B32C50" w:rsidTr="00B32C50">
        <w:trPr>
          <w:gridAfter w:val="1"/>
          <w:wAfter w:w="425" w:type="dxa"/>
          <w:trHeight w:val="3472"/>
          <w:jc w:val="center"/>
        </w:trPr>
        <w:tc>
          <w:tcPr>
            <w:tcW w:w="851" w:type="dxa"/>
          </w:tcPr>
          <w:p w:rsidR="00557CCE" w:rsidRPr="00B32C50" w:rsidRDefault="00557CCE" w:rsidP="001120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2" w:type="dxa"/>
            <w:gridSpan w:val="2"/>
          </w:tcPr>
          <w:p w:rsidR="00557CCE" w:rsidRPr="00B32C50" w:rsidRDefault="00557CCE" w:rsidP="00112068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University Quest</w:t>
            </w:r>
          </w:p>
          <w:p w:rsidR="00557CCE" w:rsidRPr="00B32C50" w:rsidRDefault="00557CCE" w:rsidP="00112068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112068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Deliver Training to Portsmouth Careers/Progression Advisers to support delivery of University Quest (developed to help young people understand the options for higher and degree apprenticeships alongside traditional higher education</w:t>
            </w:r>
          </w:p>
        </w:tc>
        <w:tc>
          <w:tcPr>
            <w:tcW w:w="4497" w:type="dxa"/>
            <w:gridSpan w:val="2"/>
          </w:tcPr>
          <w:p w:rsidR="00557CCE" w:rsidRPr="00B32C50" w:rsidRDefault="00557CCE" w:rsidP="002F3880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2F3880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2F388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Training to be delivered</w:t>
            </w:r>
          </w:p>
          <w:p w:rsidR="00557CCE" w:rsidRPr="00B32C50" w:rsidRDefault="00557CCE" w:rsidP="002F388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br/>
              <w:t>Careers/Progression advisers to identify opportunities to use programme in school settings.</w:t>
            </w:r>
          </w:p>
          <w:p w:rsidR="00557CCE" w:rsidRPr="00B32C50" w:rsidRDefault="00557CCE" w:rsidP="002F388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br/>
              <w:t>Review of progress in January 19 and July 19.</w:t>
            </w:r>
          </w:p>
        </w:tc>
        <w:tc>
          <w:tcPr>
            <w:tcW w:w="993" w:type="dxa"/>
          </w:tcPr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AP</w:t>
            </w: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AP</w:t>
            </w: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Training September 2018</w:t>
            </w: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</w:tcPr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281D89" w:rsidRPr="00B32C50" w:rsidRDefault="00281D89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Training has been delivered to advisers.</w:t>
            </w: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</w:tc>
      </w:tr>
      <w:tr w:rsidR="00557CCE" w:rsidRPr="00B32C50" w:rsidTr="00B32C50">
        <w:trPr>
          <w:gridAfter w:val="1"/>
          <w:wAfter w:w="425" w:type="dxa"/>
          <w:jc w:val="center"/>
        </w:trPr>
        <w:tc>
          <w:tcPr>
            <w:tcW w:w="851" w:type="dxa"/>
          </w:tcPr>
          <w:p w:rsidR="00557CCE" w:rsidRPr="00B32C50" w:rsidRDefault="00557CCE" w:rsidP="005333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2" w:type="dxa"/>
            <w:gridSpan w:val="2"/>
          </w:tcPr>
          <w:p w:rsidR="00557CCE" w:rsidRPr="00B32C50" w:rsidRDefault="00557CCE" w:rsidP="005333EA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National Apprenticeship Week</w:t>
            </w:r>
          </w:p>
          <w:p w:rsidR="00557CCE" w:rsidRPr="00B32C50" w:rsidRDefault="00557CCE" w:rsidP="005333EA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5333EA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Following a successful partnership with Shaping Portsmouth and the University of Portsmouth to deliver a programme for National Apprenticeship week 2018 this will continued and developed for 2019</w:t>
            </w:r>
          </w:p>
          <w:p w:rsidR="00557CCE" w:rsidRPr="00B32C50" w:rsidRDefault="00557CCE" w:rsidP="005333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97" w:type="dxa"/>
            <w:gridSpan w:val="2"/>
          </w:tcPr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C32634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C32634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Re-convene planning meeting with partners in October 2018 to plan 2019 event.</w:t>
            </w:r>
          </w:p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Confirm Sponsorship involvement</w:t>
            </w:r>
          </w:p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br/>
              <w:t>Invite the Southern Universities Network to participate in programme.</w:t>
            </w:r>
          </w:p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br/>
              <w:t>Set targets for school visits</w:t>
            </w:r>
          </w:p>
          <w:p w:rsidR="00557CCE" w:rsidRPr="00B32C50" w:rsidRDefault="00557CCE" w:rsidP="00C3263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:rsidR="00550F07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br/>
            </w:r>
          </w:p>
          <w:p w:rsidR="00550F07" w:rsidRPr="00B32C50" w:rsidRDefault="00550F07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AP</w:t>
            </w:r>
          </w:p>
        </w:tc>
        <w:tc>
          <w:tcPr>
            <w:tcW w:w="850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3E5581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Oct 18</w:t>
            </w:r>
          </w:p>
        </w:tc>
        <w:tc>
          <w:tcPr>
            <w:tcW w:w="1559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4D0EFB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4D0EFB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4D0EFB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Ensuring sponsorship is in place for 2019 events</w:t>
            </w:r>
          </w:p>
        </w:tc>
        <w:tc>
          <w:tcPr>
            <w:tcW w:w="1314" w:type="dxa"/>
          </w:tcPr>
          <w:p w:rsidR="00550F07" w:rsidRPr="00B32C50" w:rsidRDefault="00550F07" w:rsidP="004D0EFB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4D0EFB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4D0EFB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A463FD" w:rsidP="004D0EFB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First planning meeting 30</w:t>
            </w:r>
            <w:r w:rsidR="00557CCE" w:rsidRPr="00B32C50">
              <w:rPr>
                <w:rFonts w:ascii="Arial" w:hAnsi="Arial" w:cs="Arial"/>
                <w:szCs w:val="24"/>
              </w:rPr>
              <w:t>th October 2018</w:t>
            </w:r>
          </w:p>
        </w:tc>
      </w:tr>
      <w:tr w:rsidR="005112AA" w:rsidRPr="00B32C50" w:rsidTr="00B32C50">
        <w:trPr>
          <w:gridAfter w:val="1"/>
          <w:wAfter w:w="425" w:type="dxa"/>
          <w:trHeight w:val="3107"/>
          <w:jc w:val="center"/>
        </w:trPr>
        <w:tc>
          <w:tcPr>
            <w:tcW w:w="851" w:type="dxa"/>
          </w:tcPr>
          <w:p w:rsidR="005112AA" w:rsidRPr="00B32C50" w:rsidRDefault="005112AA" w:rsidP="005333E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2" w:type="dxa"/>
            <w:gridSpan w:val="2"/>
          </w:tcPr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Advanced and Higher Apprenticeship Careers Event</w:t>
            </w: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5333E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97" w:type="dxa"/>
            <w:gridSpan w:val="2"/>
          </w:tcPr>
          <w:p w:rsidR="00550F07" w:rsidRPr="00B32C50" w:rsidRDefault="00550F07" w:rsidP="00C32634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C32634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Deliver Advanced and Higher Apprenticeship Event  to raise awareness and highlight opportunities at key transition points</w:t>
            </w:r>
          </w:p>
          <w:p w:rsidR="005112AA" w:rsidRPr="00B32C50" w:rsidRDefault="005112AA" w:rsidP="00C32634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C32634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This will be key delivery activity for the PCC Southern Universities Network - National Collaborative Outreach Programme.</w:t>
            </w:r>
          </w:p>
          <w:p w:rsidR="005112AA" w:rsidRPr="00B32C50" w:rsidRDefault="005112AA" w:rsidP="00C32634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C32634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Partnership to include Solent Apprenticeship Hub and NAS</w:t>
            </w:r>
          </w:p>
        </w:tc>
        <w:tc>
          <w:tcPr>
            <w:tcW w:w="993" w:type="dxa"/>
          </w:tcPr>
          <w:p w:rsidR="005112AA" w:rsidRPr="00B32C50" w:rsidRDefault="005112AA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br/>
              <w:t>AP</w:t>
            </w:r>
          </w:p>
        </w:tc>
        <w:tc>
          <w:tcPr>
            <w:tcW w:w="850" w:type="dxa"/>
          </w:tcPr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Oct 18</w:t>
            </w:r>
          </w:p>
        </w:tc>
        <w:tc>
          <w:tcPr>
            <w:tcW w:w="1559" w:type="dxa"/>
          </w:tcPr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June 19</w:t>
            </w:r>
          </w:p>
        </w:tc>
        <w:tc>
          <w:tcPr>
            <w:tcW w:w="1560" w:type="dxa"/>
            <w:gridSpan w:val="2"/>
          </w:tcPr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Ensuring participation from local and national employers.</w:t>
            </w:r>
          </w:p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5112AA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Seeking sponsorship and project partners</w:t>
            </w:r>
          </w:p>
          <w:p w:rsidR="005112AA" w:rsidRPr="00B32C50" w:rsidRDefault="005112AA" w:rsidP="005112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</w:tcPr>
          <w:p w:rsidR="005112AA" w:rsidRPr="00B32C50" w:rsidRDefault="005112AA" w:rsidP="004D0EFB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br/>
              <w:t>SUN have agreed to activity funding.</w:t>
            </w:r>
          </w:p>
        </w:tc>
      </w:tr>
      <w:tr w:rsidR="00557CCE" w:rsidRPr="00B32C50" w:rsidTr="00B32C50">
        <w:trPr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7CCE" w:rsidRPr="00B32C50" w:rsidRDefault="00550F07" w:rsidP="00B32C50">
            <w:pPr>
              <w:rPr>
                <w:rFonts w:ascii="Arial" w:hAnsi="Arial" w:cs="Arial"/>
                <w:szCs w:val="24"/>
              </w:rPr>
            </w:pPr>
            <w:r w:rsidRPr="00B32C50">
              <w:rPr>
                <w:sz w:val="20"/>
              </w:rPr>
              <w:br w:type="page"/>
            </w:r>
            <w:r w:rsidR="00A02833" w:rsidRPr="00B32C50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Activity</w:t>
            </w:r>
          </w:p>
        </w:tc>
        <w:tc>
          <w:tcPr>
            <w:tcW w:w="4522" w:type="dxa"/>
            <w:gridSpan w:val="2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Key Actions</w:t>
            </w:r>
          </w:p>
        </w:tc>
        <w:tc>
          <w:tcPr>
            <w:tcW w:w="1148" w:type="dxa"/>
            <w:gridSpan w:val="2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Lead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E135D8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Target date</w:t>
            </w:r>
            <w:r w:rsidR="00B32C50" w:rsidRPr="00B32C5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Potential Issues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557CCE" w:rsidRPr="00B32C50" w:rsidRDefault="00557CCE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Progress</w:t>
            </w:r>
          </w:p>
        </w:tc>
      </w:tr>
      <w:tr w:rsidR="00557CCE" w:rsidRPr="00B32C50" w:rsidTr="00B32C50">
        <w:trPr>
          <w:jc w:val="center"/>
        </w:trPr>
        <w:tc>
          <w:tcPr>
            <w:tcW w:w="851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:rsidR="00557CCE" w:rsidRPr="00B32C50" w:rsidRDefault="00557CCE" w:rsidP="003E5581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 xml:space="preserve">Develop a </w:t>
            </w:r>
          </w:p>
          <w:p w:rsidR="00557CCE" w:rsidRPr="00B32C50" w:rsidRDefault="00557CCE" w:rsidP="003E5581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Portsmouth Apprenticeship Ambassador Scheme</w:t>
            </w: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22" w:type="dxa"/>
            <w:gridSpan w:val="2"/>
          </w:tcPr>
          <w:p w:rsidR="00550F07" w:rsidRPr="00B32C50" w:rsidRDefault="00550F07" w:rsidP="00A5602D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5602D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Appoint and retain a minimum of 10 Apprenticeship Ambassadors and develop training scheme and resources.  Agree and set targets for Ambassador participation.</w:t>
            </w:r>
          </w:p>
          <w:p w:rsidR="00AF0B90" w:rsidRPr="00B32C50" w:rsidRDefault="00AF0B90" w:rsidP="00A5602D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5602D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Create data a base of recently qualified apprentices who are willing to act as ambassadors.</w:t>
            </w:r>
          </w:p>
          <w:p w:rsidR="00557CCE" w:rsidRPr="00B32C50" w:rsidRDefault="00557CCE" w:rsidP="00A5602D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5602D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 xml:space="preserve">Identify appropriate events for ambassadors to attend and link ambassadors to their school for appropriate IAG activities. </w:t>
            </w:r>
          </w:p>
          <w:p w:rsidR="00AF0B90" w:rsidRPr="00B32C50" w:rsidRDefault="00AF0B90" w:rsidP="00AF0B90">
            <w:pPr>
              <w:rPr>
                <w:rFonts w:ascii="Arial" w:hAnsi="Arial" w:cs="Arial"/>
                <w:sz w:val="20"/>
              </w:rPr>
            </w:pPr>
          </w:p>
          <w:p w:rsidR="00AF0B90" w:rsidRPr="00B32C50" w:rsidRDefault="00AF0B90" w:rsidP="00AF0B90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Support National Apprenticeships Week Programme 2019</w:t>
            </w:r>
          </w:p>
          <w:p w:rsidR="005112AA" w:rsidRPr="00B32C50" w:rsidRDefault="005112AA" w:rsidP="00A5602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  <w:gridSpan w:val="2"/>
          </w:tcPr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112AA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KB</w:t>
            </w: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112AA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KB</w:t>
            </w:r>
          </w:p>
        </w:tc>
        <w:tc>
          <w:tcPr>
            <w:tcW w:w="850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Ongoing process with 10 in place for October 16</w:t>
            </w: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3E5581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Ongoing</w:t>
            </w:r>
          </w:p>
        </w:tc>
        <w:tc>
          <w:tcPr>
            <w:tcW w:w="1314" w:type="dxa"/>
          </w:tcPr>
          <w:p w:rsidR="00557CCE" w:rsidRPr="00B32C50" w:rsidRDefault="00557CCE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8 Ambassadors recruited and trained.</w:t>
            </w: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</w:p>
          <w:p w:rsidR="00550F07" w:rsidRPr="00B32C50" w:rsidRDefault="00550F07" w:rsidP="00A25B37">
            <w:pPr>
              <w:rPr>
                <w:rFonts w:ascii="Arial" w:hAnsi="Arial" w:cs="Arial"/>
                <w:szCs w:val="24"/>
              </w:rPr>
            </w:pPr>
          </w:p>
          <w:p w:rsidR="00557CCE" w:rsidRPr="00B32C50" w:rsidRDefault="00557CCE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 xml:space="preserve">Ongoing </w:t>
            </w:r>
          </w:p>
        </w:tc>
      </w:tr>
      <w:tr w:rsidR="005112AA" w:rsidRPr="00B32C50" w:rsidTr="00B32C50">
        <w:trPr>
          <w:jc w:val="center"/>
        </w:trPr>
        <w:tc>
          <w:tcPr>
            <w:tcW w:w="851" w:type="dxa"/>
          </w:tcPr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</w:tcPr>
          <w:p w:rsidR="005112AA" w:rsidRPr="00B32C50" w:rsidRDefault="005112AA" w:rsidP="003E5581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Develop case studies and films to support promotion of Apprenticeships to young people, parent carers and schools</w:t>
            </w:r>
          </w:p>
        </w:tc>
        <w:tc>
          <w:tcPr>
            <w:tcW w:w="4522" w:type="dxa"/>
            <w:gridSpan w:val="2"/>
          </w:tcPr>
          <w:p w:rsidR="00550F07" w:rsidRPr="00B32C50" w:rsidRDefault="00550F07" w:rsidP="00A5602D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5112AA" w:rsidP="00A5602D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Work with NAS to develop this offer</w:t>
            </w:r>
          </w:p>
        </w:tc>
        <w:tc>
          <w:tcPr>
            <w:tcW w:w="1148" w:type="dxa"/>
            <w:gridSpan w:val="2"/>
          </w:tcPr>
          <w:p w:rsidR="00A463FD" w:rsidRPr="00B32C50" w:rsidRDefault="00A463FD" w:rsidP="00A25B37">
            <w:pPr>
              <w:rPr>
                <w:rFonts w:ascii="Arial" w:hAnsi="Arial" w:cs="Arial"/>
                <w:szCs w:val="24"/>
              </w:rPr>
            </w:pPr>
          </w:p>
          <w:p w:rsidR="005112AA" w:rsidRPr="00B32C50" w:rsidRDefault="00A463FD" w:rsidP="00A25B37">
            <w:pPr>
              <w:rPr>
                <w:rFonts w:ascii="Arial" w:hAnsi="Arial" w:cs="Arial"/>
                <w:szCs w:val="24"/>
              </w:rPr>
            </w:pPr>
            <w:r w:rsidRPr="00B32C50">
              <w:rPr>
                <w:rFonts w:ascii="Arial" w:hAnsi="Arial" w:cs="Arial"/>
                <w:szCs w:val="24"/>
              </w:rPr>
              <w:t>AT/AP</w:t>
            </w:r>
          </w:p>
        </w:tc>
        <w:tc>
          <w:tcPr>
            <w:tcW w:w="850" w:type="dxa"/>
          </w:tcPr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</w:tcPr>
          <w:p w:rsidR="005112AA" w:rsidRPr="00B32C50" w:rsidRDefault="005112AA" w:rsidP="003E55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112AA" w:rsidRPr="00B32C50" w:rsidRDefault="005112AA" w:rsidP="00A25B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D7FF5" w:rsidRPr="00B32C50" w:rsidRDefault="00CD7FF5" w:rsidP="00DF026B">
      <w:pPr>
        <w:spacing w:after="120" w:line="240" w:lineRule="auto"/>
        <w:rPr>
          <w:rFonts w:ascii="Arial" w:hAnsi="Arial" w:cs="Arial"/>
          <w:sz w:val="14"/>
          <w:szCs w:val="16"/>
        </w:rPr>
      </w:pPr>
    </w:p>
    <w:p w:rsidR="005112AA" w:rsidRPr="00B32C50" w:rsidRDefault="005112AA" w:rsidP="00DF026B">
      <w:pPr>
        <w:spacing w:after="120" w:line="240" w:lineRule="auto"/>
        <w:rPr>
          <w:rFonts w:ascii="Arial" w:hAnsi="Arial" w:cs="Arial"/>
          <w:b/>
          <w:szCs w:val="24"/>
        </w:rPr>
      </w:pPr>
    </w:p>
    <w:p w:rsidR="005112AA" w:rsidRPr="00B32C50" w:rsidRDefault="005112AA" w:rsidP="00DF026B">
      <w:pPr>
        <w:spacing w:after="120" w:line="240" w:lineRule="auto"/>
        <w:rPr>
          <w:rFonts w:ascii="Arial" w:hAnsi="Arial" w:cs="Arial"/>
          <w:b/>
          <w:szCs w:val="24"/>
        </w:rPr>
      </w:pPr>
    </w:p>
    <w:p w:rsidR="005112AA" w:rsidRPr="00B32C50" w:rsidRDefault="005112AA" w:rsidP="00DF026B">
      <w:pPr>
        <w:spacing w:after="120" w:line="240" w:lineRule="auto"/>
        <w:rPr>
          <w:rFonts w:ascii="Arial" w:hAnsi="Arial" w:cs="Arial"/>
          <w:b/>
          <w:szCs w:val="24"/>
        </w:rPr>
      </w:pPr>
    </w:p>
    <w:p w:rsidR="005112AA" w:rsidRPr="00B32C50" w:rsidRDefault="005112AA" w:rsidP="00DF026B">
      <w:pPr>
        <w:spacing w:after="120" w:line="240" w:lineRule="auto"/>
        <w:rPr>
          <w:rFonts w:ascii="Arial" w:hAnsi="Arial" w:cs="Arial"/>
          <w:b/>
          <w:szCs w:val="24"/>
        </w:rPr>
      </w:pPr>
    </w:p>
    <w:p w:rsidR="00B32C50" w:rsidRDefault="00B32C5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02833" w:rsidRPr="00B32C50" w:rsidRDefault="000537B3" w:rsidP="00DF026B">
      <w:pPr>
        <w:spacing w:after="120" w:line="240" w:lineRule="auto"/>
        <w:rPr>
          <w:rFonts w:ascii="Arial" w:hAnsi="Arial" w:cs="Arial"/>
          <w:b/>
          <w:szCs w:val="24"/>
        </w:rPr>
      </w:pPr>
      <w:r w:rsidRPr="00B32C50">
        <w:rPr>
          <w:rFonts w:ascii="Arial" w:hAnsi="Arial" w:cs="Arial"/>
          <w:b/>
          <w:szCs w:val="24"/>
        </w:rPr>
        <w:t xml:space="preserve">C) </w:t>
      </w:r>
      <w:r w:rsidR="00E4316B" w:rsidRPr="00B32C50">
        <w:rPr>
          <w:rFonts w:ascii="Arial" w:hAnsi="Arial" w:cs="Arial"/>
          <w:b/>
          <w:szCs w:val="24"/>
        </w:rPr>
        <w:t>Engaging employers</w:t>
      </w:r>
      <w:r w:rsidR="001F1858" w:rsidRPr="00B32C50">
        <w:rPr>
          <w:rFonts w:ascii="Arial" w:hAnsi="Arial" w:cs="Arial"/>
          <w:b/>
          <w:szCs w:val="24"/>
        </w:rPr>
        <w:t xml:space="preserve"> - promoting Apprenticeships</w:t>
      </w:r>
    </w:p>
    <w:tbl>
      <w:tblPr>
        <w:tblStyle w:val="TableGrid"/>
        <w:tblW w:w="1445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677"/>
        <w:gridCol w:w="992"/>
        <w:gridCol w:w="851"/>
        <w:gridCol w:w="1385"/>
        <w:gridCol w:w="1450"/>
        <w:gridCol w:w="1701"/>
      </w:tblGrid>
      <w:tr w:rsidR="00A02833" w:rsidRPr="00B32C50" w:rsidTr="00B32C50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02833" w:rsidRPr="00B32C50" w:rsidRDefault="00A02833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02833" w:rsidRPr="00B32C50" w:rsidRDefault="00A02833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Activity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833" w:rsidRPr="00B32C50" w:rsidRDefault="00A02833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Key Actions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833" w:rsidRPr="00B32C50" w:rsidRDefault="00A02833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Lead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833" w:rsidRPr="00B32C50" w:rsidRDefault="00A02833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833" w:rsidRPr="00B32C50" w:rsidRDefault="00A02833" w:rsidP="00E135D8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Target date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833" w:rsidRPr="00B32C50" w:rsidRDefault="00A02833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Potential Issues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833" w:rsidRPr="00B32C50" w:rsidRDefault="00A02833" w:rsidP="00B32C50">
            <w:pPr>
              <w:rPr>
                <w:rFonts w:ascii="Arial" w:hAnsi="Arial" w:cs="Arial"/>
                <w:b/>
                <w:szCs w:val="24"/>
              </w:rPr>
            </w:pPr>
            <w:r w:rsidRPr="00B32C50">
              <w:rPr>
                <w:rFonts w:ascii="Arial" w:hAnsi="Arial" w:cs="Arial"/>
                <w:b/>
                <w:szCs w:val="24"/>
              </w:rPr>
              <w:t>Progress</w:t>
            </w:r>
          </w:p>
        </w:tc>
      </w:tr>
      <w:tr w:rsidR="00A02833" w:rsidRPr="00B32C50" w:rsidTr="00B32C50">
        <w:tc>
          <w:tcPr>
            <w:tcW w:w="851" w:type="dxa"/>
            <w:tcBorders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ED to raise the awareness of apprenticeships to businesses from an impartial stance to alleviate complexity of programmes,</w:t>
            </w:r>
          </w:p>
          <w:p w:rsidR="007136E3" w:rsidRPr="00B32C50" w:rsidRDefault="007136E3" w:rsidP="00613DA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  <w:b/>
              </w:rPr>
              <w:t xml:space="preserve">Invest-in Portsmouth - </w:t>
            </w:r>
            <w:r w:rsidRPr="00B32C50">
              <w:rPr>
                <w:rFonts w:ascii="Arial" w:hAnsi="Arial" w:cs="Arial"/>
              </w:rPr>
              <w:t>website</w:t>
            </w:r>
            <w:r w:rsidRPr="00B32C50">
              <w:rPr>
                <w:rFonts w:ascii="Arial" w:hAnsi="Arial" w:cs="Arial"/>
                <w:b/>
              </w:rPr>
              <w:t xml:space="preserve"> </w:t>
            </w:r>
            <w:r w:rsidRPr="00B32C50">
              <w:rPr>
                <w:rFonts w:ascii="Arial" w:hAnsi="Arial" w:cs="Arial"/>
              </w:rPr>
              <w:t>dedicated to attract businesses / inward investment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No dedicated section on the Invest website - discuss with AH / MP</w:t>
            </w:r>
          </w:p>
        </w:tc>
      </w:tr>
      <w:tr w:rsidR="00A02833" w:rsidRPr="00B32C50" w:rsidTr="00B32C5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s.106 / Employment &amp; Skills Plans -  support the development of Apprenticeships with local developers - 30+ dwellings / 1000 </w:t>
            </w:r>
            <w:proofErr w:type="spellStart"/>
            <w:r w:rsidRPr="00B32C50">
              <w:rPr>
                <w:rFonts w:ascii="Arial" w:hAnsi="Arial" w:cs="Arial"/>
              </w:rPr>
              <w:t>sq.feet</w:t>
            </w:r>
            <w:proofErr w:type="spellEnd"/>
            <w:r w:rsidRPr="00B32C50">
              <w:rPr>
                <w:rFonts w:ascii="Arial" w:hAnsi="Arial" w:cs="Arial"/>
              </w:rPr>
              <w:t xml:space="preserve"> commercial land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proofErr w:type="gramStart"/>
            <w:r w:rsidRPr="00B32C50">
              <w:rPr>
                <w:rFonts w:ascii="Arial" w:hAnsi="Arial" w:cs="Arial"/>
                <w:b/>
              </w:rPr>
              <w:t>s.106</w:t>
            </w:r>
            <w:proofErr w:type="gramEnd"/>
            <w:r w:rsidRPr="00B32C50">
              <w:rPr>
                <w:rFonts w:ascii="Arial" w:hAnsi="Arial" w:cs="Arial"/>
                <w:b/>
              </w:rPr>
              <w:t xml:space="preserve"> Employment Skills Plans</w:t>
            </w:r>
            <w:r w:rsidRPr="00B32C50">
              <w:rPr>
                <w:rFonts w:ascii="Arial" w:hAnsi="Arial" w:cs="Arial"/>
              </w:rPr>
              <w:t xml:space="preserve"> - ED to work with major developers and their sub-contractors in the City to commit to apprenticeship benchmarks within s.106 Employment and Skills Plans.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Use KPIs to support apprenticeship starts and completions within the Portsmouth area.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Ongoing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463FD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Few active ESP</w:t>
            </w:r>
            <w:r w:rsidR="00A02833" w:rsidRPr="00B32C50">
              <w:rPr>
                <w:rFonts w:ascii="Arial" w:hAnsi="Arial" w:cs="Arial"/>
              </w:rPr>
              <w:t xml:space="preserve">s in pipeline. Apprenticeship relatively numbers low - approx. 8 - 10 per year.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Ongoing -</w:t>
            </w:r>
          </w:p>
        </w:tc>
      </w:tr>
      <w:tr w:rsidR="00A02833" w:rsidRPr="00B32C50" w:rsidTr="00B32C50">
        <w:trPr>
          <w:trHeight w:val="36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3.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 xml:space="preserve">Economic </w:t>
            </w:r>
          </w:p>
          <w:p w:rsidR="00A02833" w:rsidRPr="00B32C50" w:rsidRDefault="00A02833" w:rsidP="00613DA1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 xml:space="preserve">Development to  promote the benefits of employing Apprentices to SME's / corporates with a view to increasing the number, quantity and quality of apprenticeships across the City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B32C50">
            <w:pPr>
              <w:pStyle w:val="ListParagraph"/>
              <w:numPr>
                <w:ilvl w:val="0"/>
                <w:numId w:val="3"/>
              </w:numPr>
              <w:ind w:left="283" w:hanging="294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  <w:b/>
              </w:rPr>
              <w:t xml:space="preserve">Solent Apprenticeship Hub </w:t>
            </w:r>
            <w:r w:rsidRPr="00B32C50">
              <w:rPr>
                <w:rFonts w:ascii="Arial" w:hAnsi="Arial" w:cs="Arial"/>
              </w:rPr>
              <w:t xml:space="preserve">- PCC an active partner in the new Solent Apprenticeship Hub that employs a dedicated 'apprenticeship / skills broker' to visit SMEs across Portsmouth to promote apprenticeships - the hub will have a website / portal to provide information about apprenticeships, advertise vacancies, etc. </w:t>
            </w:r>
          </w:p>
          <w:p w:rsidR="00A02833" w:rsidRPr="00B32C50" w:rsidRDefault="00A02833" w:rsidP="00613D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SP</w:t>
            </w: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Due to start Jan '19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PCC Broker to start Feb / Mar '19</w:t>
            </w:r>
          </w:p>
        </w:tc>
      </w:tr>
    </w:tbl>
    <w:p w:rsidR="00613DA1" w:rsidRDefault="00613DA1">
      <w:r>
        <w:br w:type="page"/>
      </w:r>
    </w:p>
    <w:tbl>
      <w:tblPr>
        <w:tblStyle w:val="TableGrid"/>
        <w:tblW w:w="1445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677"/>
        <w:gridCol w:w="992"/>
        <w:gridCol w:w="851"/>
        <w:gridCol w:w="1385"/>
        <w:gridCol w:w="1450"/>
        <w:gridCol w:w="1701"/>
      </w:tblGrid>
      <w:tr w:rsidR="00A02833" w:rsidRPr="00B32C50" w:rsidTr="00B32C50">
        <w:trPr>
          <w:trHeight w:val="89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(ii) </w:t>
            </w:r>
            <w:r w:rsidRPr="00B32C50">
              <w:rPr>
                <w:rFonts w:ascii="Arial" w:hAnsi="Arial" w:cs="Arial"/>
                <w:b/>
              </w:rPr>
              <w:t xml:space="preserve">'Opportunities through Apprenticeships' Project </w:t>
            </w:r>
            <w:r w:rsidRPr="00B32C50">
              <w:rPr>
                <w:rFonts w:ascii="Arial" w:hAnsi="Arial" w:cs="Arial"/>
              </w:rPr>
              <w:t>- PCC has agreed to participate in the 4 x Cities 'Opportunities through Apprenticeships' project, to collaborating with the National Apprenticeship Service and 3 others local authorities (</w:t>
            </w:r>
            <w:proofErr w:type="spellStart"/>
            <w:r w:rsidRPr="00B32C50">
              <w:rPr>
                <w:rFonts w:ascii="Arial" w:hAnsi="Arial" w:cs="Arial"/>
              </w:rPr>
              <w:t>ie</w:t>
            </w:r>
            <w:proofErr w:type="spellEnd"/>
            <w:r w:rsidRPr="00B32C50">
              <w:rPr>
                <w:rFonts w:ascii="Arial" w:hAnsi="Arial" w:cs="Arial"/>
              </w:rPr>
              <w:t xml:space="preserve">. </w:t>
            </w:r>
            <w:proofErr w:type="spellStart"/>
            <w:r w:rsidRPr="00B32C50">
              <w:rPr>
                <w:rFonts w:ascii="Arial" w:hAnsi="Arial" w:cs="Arial"/>
              </w:rPr>
              <w:t>S.Tyneside</w:t>
            </w:r>
            <w:proofErr w:type="spellEnd"/>
            <w:r w:rsidRPr="00B32C50">
              <w:rPr>
                <w:rFonts w:ascii="Arial" w:hAnsi="Arial" w:cs="Arial"/>
              </w:rPr>
              <w:t>, Nottingham, Torbay) to increase the number of advanced / higher apprenticeships to young people that live in socio-economically deprived areas across the city. ESFA Project Manager - Colin Salter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SP</w:t>
            </w: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Project launched Nov '18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ESFA Project Manager Colin Salter visits PCC monthly to discuss progress / assist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</w:tr>
      <w:tr w:rsidR="00A02833" w:rsidRPr="00B32C50" w:rsidTr="00613DA1">
        <w:trPr>
          <w:trHeight w:val="2926"/>
        </w:trPr>
        <w:tc>
          <w:tcPr>
            <w:tcW w:w="851" w:type="dxa"/>
            <w:vMerge/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(iii) </w:t>
            </w:r>
            <w:r w:rsidRPr="00B32C50">
              <w:rPr>
                <w:rFonts w:ascii="Arial" w:hAnsi="Arial" w:cs="Arial"/>
                <w:b/>
              </w:rPr>
              <w:t>Apprenticeship Levy</w:t>
            </w:r>
            <w:r w:rsidRPr="00B32C50">
              <w:rPr>
                <w:rFonts w:ascii="Arial" w:hAnsi="Arial" w:cs="Arial"/>
              </w:rPr>
              <w:t xml:space="preserve"> - PCC to work with Apprenticeship Levy payers across the City to ensure employers are informed about the </w:t>
            </w:r>
            <w:r w:rsidRPr="00B32C50">
              <w:rPr>
                <w:rFonts w:ascii="GTGAZ E+ Interstate" w:hAnsi="GTGAZ E+ Interstate" w:cs="GTGAZ E+ Interstate"/>
                <w:bCs/>
                <w:color w:val="000000"/>
              </w:rPr>
              <w:t xml:space="preserve">Digital Apprenticeship Service make and maximum use of their levy </w:t>
            </w:r>
            <w:r w:rsidRPr="00B32C50">
              <w:rPr>
                <w:rFonts w:ascii="Arial" w:hAnsi="Arial" w:cs="Arial"/>
              </w:rPr>
              <w:t>Future Portsmouth - work with Economic Growth, Chamber of Commerce, Shaping Portsmouth and Solent LEP to build on success of the Business Breakfast event by ensuring this is an annual event.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On-going</w:t>
            </w:r>
          </w:p>
        </w:tc>
      </w:tr>
      <w:tr w:rsidR="00A02833" w:rsidRPr="00B32C50" w:rsidTr="007136E3">
        <w:trPr>
          <w:trHeight w:val="2686"/>
        </w:trPr>
        <w:tc>
          <w:tcPr>
            <w:tcW w:w="851" w:type="dxa"/>
            <w:vMerge w:val="restart"/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</w:rPr>
              <w:t xml:space="preserve">(iv) </w:t>
            </w:r>
            <w:r w:rsidRPr="00B32C50">
              <w:rPr>
                <w:rFonts w:ascii="Arial" w:hAnsi="Arial" w:cs="Arial"/>
                <w:b/>
              </w:rPr>
              <w:t xml:space="preserve">Shaping Portsmouth 'Employer Skills Survey' -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Employer survey due to go ahead January / Feb subject to approval from 'Shaping Portsmouth', Survey contains questions relating to employing / recruiting Apprenticeships to inform policy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Data Collection - Feb / March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Report / analysis - April '19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Awaiting for order from 'Shaping Portsmouth'</w:t>
            </w:r>
          </w:p>
        </w:tc>
      </w:tr>
      <w:tr w:rsidR="00A02833" w:rsidRPr="00B32C50" w:rsidTr="007136E3">
        <w:tc>
          <w:tcPr>
            <w:tcW w:w="851" w:type="dxa"/>
            <w:vMerge/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  <w:b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  <w:color w:val="548DD4" w:themeColor="text2" w:themeTint="99"/>
              </w:rPr>
            </w:pPr>
            <w:r w:rsidRPr="00B32C50">
              <w:rPr>
                <w:rFonts w:ascii="Arial" w:hAnsi="Arial" w:cs="Arial"/>
              </w:rPr>
              <w:t xml:space="preserve">(v) </w:t>
            </w:r>
            <w:r w:rsidRPr="00B32C50">
              <w:rPr>
                <w:rFonts w:ascii="Arial" w:hAnsi="Arial" w:cs="Arial"/>
                <w:b/>
              </w:rPr>
              <w:t xml:space="preserve">Future Portsmouth Event </w:t>
            </w:r>
            <w:r w:rsidRPr="00B32C50">
              <w:rPr>
                <w:rFonts w:ascii="Arial" w:hAnsi="Arial" w:cs="Arial"/>
              </w:rPr>
              <w:t xml:space="preserve">- ED to lead on Future Portsmouth '19 event targeted to engage employers with Higher Level apprenticeships, as well as provide guidance on the Apprenticeship Levy. Work with University of Portsmouth, JCP, </w:t>
            </w:r>
            <w:proofErr w:type="gramStart"/>
            <w:r w:rsidRPr="00B32C50">
              <w:rPr>
                <w:rFonts w:ascii="Arial" w:hAnsi="Arial" w:cs="Arial"/>
              </w:rPr>
              <w:t>Chamber</w:t>
            </w:r>
            <w:proofErr w:type="gramEnd"/>
            <w:r w:rsidRPr="00B32C50">
              <w:rPr>
                <w:rFonts w:ascii="Arial" w:hAnsi="Arial" w:cs="Arial"/>
              </w:rPr>
              <w:t xml:space="preserve"> of Commerce and ALPHI network to deliver this</w:t>
            </w:r>
            <w:r w:rsidRPr="00B32C50">
              <w:rPr>
                <w:rFonts w:ascii="Arial" w:hAnsi="Arial" w:cs="Arial"/>
                <w:color w:val="548DD4" w:themeColor="text2" w:themeTint="99"/>
              </w:rPr>
              <w:t>.</w:t>
            </w:r>
          </w:p>
          <w:p w:rsidR="00A02833" w:rsidRPr="00B32C50" w:rsidRDefault="00A02833" w:rsidP="00613DA1">
            <w:pPr>
              <w:rPr>
                <w:rFonts w:ascii="Arial" w:hAnsi="Arial" w:cs="Arial"/>
                <w:color w:val="548DD4" w:themeColor="text2" w:themeTint="99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Work now starting on event planning for event Fri, 8</w:t>
            </w:r>
            <w:r w:rsidRPr="00B32C50">
              <w:rPr>
                <w:rFonts w:ascii="Arial" w:hAnsi="Arial" w:cs="Arial"/>
                <w:vertAlign w:val="superscript"/>
              </w:rPr>
              <w:t>th</w:t>
            </w:r>
            <w:r w:rsidRPr="00B32C50">
              <w:rPr>
                <w:rFonts w:ascii="Arial" w:hAnsi="Arial" w:cs="Arial"/>
              </w:rPr>
              <w:t xml:space="preserve"> March 2019 at The Village Hotel, Lakeside. 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jc w:val="center"/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Venue Booked for Fri, 8</w:t>
            </w:r>
            <w:r w:rsidRPr="00B32C50">
              <w:rPr>
                <w:rFonts w:ascii="Arial" w:hAnsi="Arial" w:cs="Arial"/>
                <w:vertAlign w:val="superscript"/>
              </w:rPr>
              <w:t>th</w:t>
            </w:r>
            <w:r w:rsidRPr="00B32C50">
              <w:rPr>
                <w:rFonts w:ascii="Arial" w:hAnsi="Arial" w:cs="Arial"/>
              </w:rPr>
              <w:t xml:space="preserve"> March - The Village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Event is now live on Eventbrite for bookings </w:t>
            </w: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</w:p>
          <w:p w:rsidR="00A02833" w:rsidRPr="00B32C50" w:rsidRDefault="00A02833" w:rsidP="00613DA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Steering Group meeting monthly </w:t>
            </w:r>
          </w:p>
        </w:tc>
      </w:tr>
    </w:tbl>
    <w:p w:rsidR="00E4316B" w:rsidRPr="00B32C50" w:rsidRDefault="00E4316B" w:rsidP="00E4316B">
      <w:pPr>
        <w:rPr>
          <w:rFonts w:ascii="Arial" w:hAnsi="Arial" w:cs="Arial"/>
          <w:b/>
        </w:rPr>
      </w:pPr>
    </w:p>
    <w:p w:rsidR="00E135D8" w:rsidRDefault="000537B3" w:rsidP="00E4316B">
      <w:pPr>
        <w:rPr>
          <w:rFonts w:ascii="Arial" w:hAnsi="Arial" w:cs="Arial"/>
          <w:b/>
        </w:rPr>
        <w:sectPr w:rsidR="00E135D8" w:rsidSect="00B32C50">
          <w:pgSz w:w="16838" w:h="11906" w:orient="landscape"/>
          <w:pgMar w:top="855" w:right="1440" w:bottom="284" w:left="1440" w:header="568" w:footer="441" w:gutter="0"/>
          <w:cols w:space="708"/>
          <w:docGrid w:linePitch="360"/>
        </w:sectPr>
      </w:pPr>
      <w:r w:rsidRPr="00B32C50">
        <w:rPr>
          <w:rFonts w:ascii="Arial" w:hAnsi="Arial" w:cs="Arial"/>
          <w:b/>
        </w:rPr>
        <w:t xml:space="preserve">D) </w:t>
      </w:r>
      <w:r w:rsidR="00E4316B" w:rsidRPr="00B32C50">
        <w:rPr>
          <w:rFonts w:ascii="Arial" w:hAnsi="Arial" w:cs="Arial"/>
          <w:b/>
        </w:rPr>
        <w:t>Shaping provi</w:t>
      </w:r>
      <w:r w:rsidR="00E135D8">
        <w:rPr>
          <w:rFonts w:ascii="Arial" w:hAnsi="Arial" w:cs="Arial"/>
          <w:b/>
        </w:rPr>
        <w:t>sion to meet future skills need</w:t>
      </w:r>
    </w:p>
    <w:tbl>
      <w:tblPr>
        <w:tblStyle w:val="TableGrid"/>
        <w:tblW w:w="14465" w:type="dxa"/>
        <w:jc w:val="center"/>
        <w:tblInd w:w="-9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677"/>
        <w:gridCol w:w="993"/>
        <w:gridCol w:w="850"/>
        <w:gridCol w:w="1418"/>
        <w:gridCol w:w="1417"/>
        <w:gridCol w:w="1707"/>
      </w:tblGrid>
      <w:tr w:rsidR="007136E3" w:rsidRPr="00B32C50" w:rsidTr="00E135D8">
        <w:trPr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36E3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136E3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7136E3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136E3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135D8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136E3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 xml:space="preserve">Target date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136E3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Potential Issues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7136E3" w:rsidRPr="00B32C50" w:rsidRDefault="007136E3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Progress</w:t>
            </w:r>
          </w:p>
        </w:tc>
      </w:tr>
      <w:tr w:rsidR="007136E3" w:rsidRPr="00B32C50" w:rsidTr="007136E3">
        <w:trPr>
          <w:jc w:val="center"/>
        </w:trPr>
        <w:tc>
          <w:tcPr>
            <w:tcW w:w="851" w:type="dxa"/>
          </w:tcPr>
          <w:p w:rsidR="007136E3" w:rsidRPr="00B32C50" w:rsidRDefault="007136E3" w:rsidP="00A4501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136E3" w:rsidRPr="00B32C50" w:rsidRDefault="007136E3" w:rsidP="00A4501C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Ensure there is sufficient provision of advanced and higher level apprenticeships</w:t>
            </w:r>
          </w:p>
        </w:tc>
        <w:tc>
          <w:tcPr>
            <w:tcW w:w="4677" w:type="dxa"/>
          </w:tcPr>
          <w:p w:rsidR="007136E3" w:rsidRPr="00B32C50" w:rsidRDefault="007136E3" w:rsidP="00A4501C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Review local offer for advanced and higher level apprenticeships.</w:t>
            </w:r>
          </w:p>
          <w:p w:rsidR="007136E3" w:rsidRPr="00B32C50" w:rsidRDefault="007136E3" w:rsidP="00A4501C">
            <w:pPr>
              <w:rPr>
                <w:rFonts w:ascii="Arial" w:hAnsi="Arial" w:cs="Arial"/>
              </w:rPr>
            </w:pPr>
          </w:p>
          <w:p w:rsidR="007136E3" w:rsidRPr="00B32C50" w:rsidRDefault="007136E3" w:rsidP="00A4501C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Work with organisations such as the Solent LEP, Shaping Portsmouth and Chamber of Commerce to raise profile of this provision</w:t>
            </w:r>
          </w:p>
        </w:tc>
        <w:tc>
          <w:tcPr>
            <w:tcW w:w="993" w:type="dxa"/>
          </w:tcPr>
          <w:p w:rsidR="007136E3" w:rsidRPr="00B32C50" w:rsidRDefault="007136E3" w:rsidP="00A25B37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AP/AP</w:t>
            </w:r>
          </w:p>
        </w:tc>
        <w:tc>
          <w:tcPr>
            <w:tcW w:w="850" w:type="dxa"/>
          </w:tcPr>
          <w:p w:rsidR="007136E3" w:rsidRPr="00B32C50" w:rsidRDefault="007136E3" w:rsidP="00A450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136E3" w:rsidRPr="00B32C50" w:rsidRDefault="007136E3" w:rsidP="00A4501C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Ongoing</w:t>
            </w:r>
          </w:p>
        </w:tc>
        <w:tc>
          <w:tcPr>
            <w:tcW w:w="1417" w:type="dxa"/>
          </w:tcPr>
          <w:p w:rsidR="007136E3" w:rsidRPr="00B32C50" w:rsidRDefault="007136E3" w:rsidP="00557CCE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Local provider ceased provision in August 18</w:t>
            </w:r>
          </w:p>
          <w:p w:rsidR="007136E3" w:rsidRPr="00B32C50" w:rsidRDefault="007136E3" w:rsidP="00557CCE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7136E3" w:rsidRPr="00B32C50" w:rsidRDefault="007136E3" w:rsidP="00A4501C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Meetings arranged with two providers on 31</w:t>
            </w:r>
            <w:r w:rsidRPr="00B32C50">
              <w:rPr>
                <w:rFonts w:ascii="Arial" w:hAnsi="Arial" w:cs="Arial"/>
                <w:vertAlign w:val="superscript"/>
              </w:rPr>
              <w:t>st</w:t>
            </w:r>
            <w:r w:rsidRPr="00B32C50">
              <w:rPr>
                <w:rFonts w:ascii="Arial" w:hAnsi="Arial" w:cs="Arial"/>
              </w:rPr>
              <w:t xml:space="preserve"> October and 1</w:t>
            </w:r>
            <w:r w:rsidRPr="00B32C50">
              <w:rPr>
                <w:rFonts w:ascii="Arial" w:hAnsi="Arial" w:cs="Arial"/>
                <w:vertAlign w:val="superscript"/>
              </w:rPr>
              <w:t>st</w:t>
            </w:r>
            <w:r w:rsidR="00E135D8">
              <w:rPr>
                <w:rFonts w:ascii="Arial" w:hAnsi="Arial" w:cs="Arial"/>
              </w:rPr>
              <w:t xml:space="preserve"> November</w:t>
            </w:r>
          </w:p>
        </w:tc>
      </w:tr>
    </w:tbl>
    <w:p w:rsidR="00E135D8" w:rsidRDefault="00E135D8" w:rsidP="007A5802">
      <w:pPr>
        <w:spacing w:after="120" w:line="240" w:lineRule="auto"/>
        <w:ind w:left="709" w:hanging="709"/>
        <w:rPr>
          <w:rFonts w:ascii="Arial" w:hAnsi="Arial" w:cs="Arial"/>
          <w:b/>
        </w:rPr>
      </w:pPr>
    </w:p>
    <w:p w:rsidR="002A496C" w:rsidRPr="00B32C50" w:rsidRDefault="002A496C" w:rsidP="00E135D8">
      <w:pPr>
        <w:spacing w:after="120" w:line="240" w:lineRule="auto"/>
        <w:ind w:hanging="284"/>
        <w:rPr>
          <w:rFonts w:ascii="Arial" w:hAnsi="Arial" w:cs="Arial"/>
          <w:b/>
        </w:rPr>
      </w:pPr>
      <w:r w:rsidRPr="00B32C50">
        <w:rPr>
          <w:rFonts w:ascii="Arial" w:hAnsi="Arial" w:cs="Arial"/>
          <w:b/>
        </w:rPr>
        <w:t>Developing and Promoting Traineeships</w:t>
      </w:r>
    </w:p>
    <w:tbl>
      <w:tblPr>
        <w:tblStyle w:val="TableGrid"/>
        <w:tblW w:w="14459" w:type="dxa"/>
        <w:jc w:val="center"/>
        <w:tblInd w:w="-601" w:type="dxa"/>
        <w:tblLook w:val="04A0" w:firstRow="1" w:lastRow="0" w:firstColumn="1" w:lastColumn="0" w:noHBand="0" w:noVBand="1"/>
      </w:tblPr>
      <w:tblGrid>
        <w:gridCol w:w="710"/>
        <w:gridCol w:w="2277"/>
        <w:gridCol w:w="5093"/>
        <w:gridCol w:w="993"/>
        <w:gridCol w:w="850"/>
        <w:gridCol w:w="1559"/>
        <w:gridCol w:w="1276"/>
        <w:gridCol w:w="1701"/>
      </w:tblGrid>
      <w:tr w:rsidR="007A5802" w:rsidRPr="00B32C50" w:rsidTr="00E135D8">
        <w:trPr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093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 xml:space="preserve">Target date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Potential Issues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  <w:b/>
              </w:rPr>
            </w:pPr>
            <w:r w:rsidRPr="00B32C50">
              <w:rPr>
                <w:rFonts w:ascii="Arial" w:hAnsi="Arial" w:cs="Arial"/>
                <w:b/>
              </w:rPr>
              <w:t>Progress</w:t>
            </w:r>
          </w:p>
        </w:tc>
      </w:tr>
      <w:tr w:rsidR="007A5802" w:rsidRPr="00B32C50" w:rsidTr="00E135D8">
        <w:trPr>
          <w:jc w:val="center"/>
        </w:trPr>
        <w:tc>
          <w:tcPr>
            <w:tcW w:w="710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:rsidR="007A5802" w:rsidRPr="00B32C50" w:rsidRDefault="007A5802" w:rsidP="00557CCE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Work with local providers to re-establish Traineeship provision in Portsmouth</w:t>
            </w:r>
          </w:p>
        </w:tc>
        <w:tc>
          <w:tcPr>
            <w:tcW w:w="5093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Work with providers to develop city centre offer for traineeships </w:t>
            </w: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Identify opportunities to support sourcing of placements.</w:t>
            </w: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Link to ESF STEP programme</w:t>
            </w:r>
          </w:p>
        </w:tc>
        <w:tc>
          <w:tcPr>
            <w:tcW w:w="993" w:type="dxa"/>
          </w:tcPr>
          <w:p w:rsidR="007A5802" w:rsidRPr="00B32C50" w:rsidRDefault="007A5802" w:rsidP="00A25B37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AP</w:t>
            </w: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Oct</w:t>
            </w: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ASAP</w:t>
            </w:r>
          </w:p>
        </w:tc>
        <w:tc>
          <w:tcPr>
            <w:tcW w:w="1276" w:type="dxa"/>
          </w:tcPr>
          <w:p w:rsidR="007A5802" w:rsidRPr="00B32C50" w:rsidRDefault="004C6FA4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Volatility of market can affect provision</w:t>
            </w:r>
            <w:r w:rsidR="00E135D8">
              <w:rPr>
                <w:rFonts w:ascii="Arial" w:hAnsi="Arial" w:cs="Arial"/>
              </w:rPr>
              <w:t xml:space="preserve"> going ahead</w:t>
            </w:r>
            <w:r w:rsidR="007A5802" w:rsidRPr="00B32C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A5802" w:rsidRPr="00B32C50" w:rsidRDefault="007A5802" w:rsidP="00E135D8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 xml:space="preserve">Actioned as part of Enhanced </w:t>
            </w:r>
            <w:proofErr w:type="gramStart"/>
            <w:r w:rsidRPr="00B32C50">
              <w:rPr>
                <w:rFonts w:ascii="Arial" w:hAnsi="Arial" w:cs="Arial"/>
              </w:rPr>
              <w:t>Traineeship  Programme</w:t>
            </w:r>
            <w:proofErr w:type="gramEnd"/>
            <w:r w:rsidRPr="00B32C50">
              <w:rPr>
                <w:rFonts w:ascii="Arial" w:hAnsi="Arial" w:cs="Arial"/>
              </w:rPr>
              <w:t>.</w:t>
            </w:r>
          </w:p>
          <w:p w:rsidR="007A5802" w:rsidRPr="00B32C50" w:rsidRDefault="007A5802" w:rsidP="00E135D8">
            <w:pPr>
              <w:rPr>
                <w:rFonts w:ascii="Arial" w:hAnsi="Arial" w:cs="Arial"/>
              </w:rPr>
            </w:pPr>
          </w:p>
          <w:p w:rsidR="007A5802" w:rsidRPr="00B32C50" w:rsidRDefault="007A5802" w:rsidP="00E135D8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Implemented</w:t>
            </w:r>
          </w:p>
          <w:p w:rsidR="007A5802" w:rsidRPr="00B32C50" w:rsidRDefault="007A5802" w:rsidP="00E135D8">
            <w:pPr>
              <w:rPr>
                <w:rFonts w:ascii="Arial" w:hAnsi="Arial" w:cs="Arial"/>
              </w:rPr>
            </w:pPr>
          </w:p>
        </w:tc>
      </w:tr>
      <w:tr w:rsidR="007A5802" w:rsidRPr="00B32C50" w:rsidTr="007A5802">
        <w:trPr>
          <w:jc w:val="center"/>
        </w:trPr>
        <w:tc>
          <w:tcPr>
            <w:tcW w:w="710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Promote traineeships to all stakeholders involved in IAG</w:t>
            </w: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7A5802" w:rsidRPr="00B32C50" w:rsidRDefault="007A5802" w:rsidP="005072D7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Produce guide to be shared with schools, post 16 providers and IAG specialists.</w:t>
            </w:r>
          </w:p>
          <w:p w:rsidR="007A5802" w:rsidRPr="00B32C50" w:rsidRDefault="007A5802" w:rsidP="005072D7">
            <w:pPr>
              <w:rPr>
                <w:rFonts w:ascii="Arial" w:hAnsi="Arial" w:cs="Arial"/>
              </w:rPr>
            </w:pP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Produce case studies of young people who have successfully progressed from a traineeship to an apprenticeship.</w:t>
            </w:r>
          </w:p>
        </w:tc>
        <w:tc>
          <w:tcPr>
            <w:tcW w:w="993" w:type="dxa"/>
          </w:tcPr>
          <w:p w:rsidR="007A5802" w:rsidRPr="00B32C50" w:rsidRDefault="007A5802" w:rsidP="00A25B37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AP</w:t>
            </w: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</w:p>
          <w:p w:rsidR="007A5802" w:rsidRPr="00B32C50" w:rsidRDefault="007A5802" w:rsidP="00A25B37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AP</w:t>
            </w:r>
          </w:p>
        </w:tc>
        <w:tc>
          <w:tcPr>
            <w:tcW w:w="850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September 17</w:t>
            </w: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June 17</w:t>
            </w:r>
          </w:p>
        </w:tc>
        <w:tc>
          <w:tcPr>
            <w:tcW w:w="1276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This relies on colleges and training providers for case studies</w:t>
            </w:r>
          </w:p>
        </w:tc>
        <w:tc>
          <w:tcPr>
            <w:tcW w:w="1701" w:type="dxa"/>
          </w:tcPr>
          <w:p w:rsidR="007A5802" w:rsidRPr="00B32C50" w:rsidRDefault="007A5802" w:rsidP="003E5581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Actioned</w:t>
            </w:r>
          </w:p>
          <w:p w:rsidR="007A5802" w:rsidRPr="00B32C50" w:rsidRDefault="007A5802" w:rsidP="003E5581">
            <w:pPr>
              <w:rPr>
                <w:rFonts w:ascii="Arial" w:hAnsi="Arial" w:cs="Arial"/>
              </w:rPr>
            </w:pPr>
          </w:p>
          <w:p w:rsidR="007A5802" w:rsidRPr="00B32C50" w:rsidRDefault="007A5802" w:rsidP="00D84E2C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br/>
            </w:r>
          </w:p>
          <w:p w:rsidR="007A5802" w:rsidRPr="00B32C50" w:rsidRDefault="007A5802" w:rsidP="00D84E2C">
            <w:pPr>
              <w:rPr>
                <w:rFonts w:ascii="Arial" w:hAnsi="Arial" w:cs="Arial"/>
              </w:rPr>
            </w:pPr>
            <w:r w:rsidRPr="00B32C50">
              <w:rPr>
                <w:rFonts w:ascii="Arial" w:hAnsi="Arial" w:cs="Arial"/>
              </w:rPr>
              <w:t>Actioned</w:t>
            </w:r>
          </w:p>
        </w:tc>
      </w:tr>
    </w:tbl>
    <w:p w:rsidR="002A496C" w:rsidRDefault="002A496C" w:rsidP="00E135D8">
      <w:pPr>
        <w:rPr>
          <w:rFonts w:ascii="Arial" w:hAnsi="Arial" w:cs="Arial"/>
          <w:b/>
          <w:sz w:val="28"/>
          <w:szCs w:val="28"/>
        </w:rPr>
      </w:pPr>
    </w:p>
    <w:sectPr w:rsidR="002A496C" w:rsidSect="00E135D8">
      <w:type w:val="continuous"/>
      <w:pgSz w:w="16838" w:h="11906" w:orient="landscape"/>
      <w:pgMar w:top="855" w:right="1440" w:bottom="284" w:left="1701" w:header="568" w:footer="4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A565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85" w:rsidRDefault="00274D85" w:rsidP="00DF078F">
      <w:pPr>
        <w:spacing w:after="0" w:line="240" w:lineRule="auto"/>
      </w:pPr>
      <w:r>
        <w:separator/>
      </w:r>
    </w:p>
  </w:endnote>
  <w:endnote w:type="continuationSeparator" w:id="0">
    <w:p w:rsidR="00274D85" w:rsidRDefault="00274D85" w:rsidP="00D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GAZ E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85" w:rsidRDefault="00274D85" w:rsidP="00DF078F">
      <w:pPr>
        <w:spacing w:after="0" w:line="240" w:lineRule="auto"/>
      </w:pPr>
      <w:r>
        <w:separator/>
      </w:r>
    </w:p>
  </w:footnote>
  <w:footnote w:type="continuationSeparator" w:id="0">
    <w:p w:rsidR="00274D85" w:rsidRDefault="00274D85" w:rsidP="00DF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038"/>
    <w:multiLevelType w:val="hybridMultilevel"/>
    <w:tmpl w:val="3F7E4A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30F5"/>
    <w:multiLevelType w:val="hybridMultilevel"/>
    <w:tmpl w:val="74B25F64"/>
    <w:lvl w:ilvl="0" w:tplc="3EC68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72BF"/>
    <w:multiLevelType w:val="hybridMultilevel"/>
    <w:tmpl w:val="07D4B240"/>
    <w:lvl w:ilvl="0" w:tplc="22C4F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neman, Mike">
    <w15:presenceInfo w15:providerId="AD" w15:userId="S-1-5-21-1177238915-436374069-839522115-37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33"/>
    <w:rsid w:val="00046FDE"/>
    <w:rsid w:val="000537B3"/>
    <w:rsid w:val="00053FCF"/>
    <w:rsid w:val="00065FF8"/>
    <w:rsid w:val="00083CC3"/>
    <w:rsid w:val="0009724B"/>
    <w:rsid w:val="000B2A9F"/>
    <w:rsid w:val="00100B33"/>
    <w:rsid w:val="001038BD"/>
    <w:rsid w:val="001059AB"/>
    <w:rsid w:val="0010679D"/>
    <w:rsid w:val="00110790"/>
    <w:rsid w:val="00112068"/>
    <w:rsid w:val="0012024E"/>
    <w:rsid w:val="00133C1E"/>
    <w:rsid w:val="00134FBC"/>
    <w:rsid w:val="00136D01"/>
    <w:rsid w:val="00151DCE"/>
    <w:rsid w:val="00157F61"/>
    <w:rsid w:val="00172BAE"/>
    <w:rsid w:val="001F1858"/>
    <w:rsid w:val="0020034F"/>
    <w:rsid w:val="00257705"/>
    <w:rsid w:val="00261A71"/>
    <w:rsid w:val="00274D85"/>
    <w:rsid w:val="00276CA9"/>
    <w:rsid w:val="00281D89"/>
    <w:rsid w:val="00283365"/>
    <w:rsid w:val="00290AAB"/>
    <w:rsid w:val="002A0545"/>
    <w:rsid w:val="002A19B0"/>
    <w:rsid w:val="002A36FE"/>
    <w:rsid w:val="002A496C"/>
    <w:rsid w:val="002A4A78"/>
    <w:rsid w:val="002B37D5"/>
    <w:rsid w:val="002B7A6C"/>
    <w:rsid w:val="002E2DCD"/>
    <w:rsid w:val="002E38E1"/>
    <w:rsid w:val="002E489E"/>
    <w:rsid w:val="002F3880"/>
    <w:rsid w:val="00313371"/>
    <w:rsid w:val="003238CE"/>
    <w:rsid w:val="00325F3E"/>
    <w:rsid w:val="00332381"/>
    <w:rsid w:val="00336535"/>
    <w:rsid w:val="00355246"/>
    <w:rsid w:val="00361D0F"/>
    <w:rsid w:val="00382D29"/>
    <w:rsid w:val="00386C35"/>
    <w:rsid w:val="003A1979"/>
    <w:rsid w:val="003C2177"/>
    <w:rsid w:val="003D2A45"/>
    <w:rsid w:val="003E5581"/>
    <w:rsid w:val="003F2847"/>
    <w:rsid w:val="003F3284"/>
    <w:rsid w:val="003F3D57"/>
    <w:rsid w:val="0042726B"/>
    <w:rsid w:val="004367B0"/>
    <w:rsid w:val="00445AED"/>
    <w:rsid w:val="0045580B"/>
    <w:rsid w:val="00483DD3"/>
    <w:rsid w:val="0049526E"/>
    <w:rsid w:val="004B16CE"/>
    <w:rsid w:val="004C0A0A"/>
    <w:rsid w:val="004C3B2E"/>
    <w:rsid w:val="004C5C6A"/>
    <w:rsid w:val="004C6FA4"/>
    <w:rsid w:val="004D0EFB"/>
    <w:rsid w:val="004F1454"/>
    <w:rsid w:val="004F29DC"/>
    <w:rsid w:val="005072D7"/>
    <w:rsid w:val="005112AA"/>
    <w:rsid w:val="00512A55"/>
    <w:rsid w:val="00527899"/>
    <w:rsid w:val="00532580"/>
    <w:rsid w:val="005333EA"/>
    <w:rsid w:val="0053386F"/>
    <w:rsid w:val="00544C56"/>
    <w:rsid w:val="00544E5F"/>
    <w:rsid w:val="00550F07"/>
    <w:rsid w:val="0055231F"/>
    <w:rsid w:val="00555A15"/>
    <w:rsid w:val="00557CCE"/>
    <w:rsid w:val="0057515F"/>
    <w:rsid w:val="00576F64"/>
    <w:rsid w:val="00591AA2"/>
    <w:rsid w:val="005927BA"/>
    <w:rsid w:val="005939DF"/>
    <w:rsid w:val="005B29BF"/>
    <w:rsid w:val="005B2D32"/>
    <w:rsid w:val="005B5152"/>
    <w:rsid w:val="005C20C2"/>
    <w:rsid w:val="005D2228"/>
    <w:rsid w:val="005D6AB2"/>
    <w:rsid w:val="005D7ECD"/>
    <w:rsid w:val="005F3CEA"/>
    <w:rsid w:val="00613DA1"/>
    <w:rsid w:val="0062118D"/>
    <w:rsid w:val="006452EB"/>
    <w:rsid w:val="00665B55"/>
    <w:rsid w:val="006B11E0"/>
    <w:rsid w:val="006B2D55"/>
    <w:rsid w:val="006B3F27"/>
    <w:rsid w:val="006E1B1C"/>
    <w:rsid w:val="006F0F64"/>
    <w:rsid w:val="006F5A83"/>
    <w:rsid w:val="00701210"/>
    <w:rsid w:val="007045C0"/>
    <w:rsid w:val="007136E3"/>
    <w:rsid w:val="007205B0"/>
    <w:rsid w:val="0072354E"/>
    <w:rsid w:val="00731692"/>
    <w:rsid w:val="00731F99"/>
    <w:rsid w:val="00756EF9"/>
    <w:rsid w:val="0076445F"/>
    <w:rsid w:val="00784905"/>
    <w:rsid w:val="00796448"/>
    <w:rsid w:val="007A4EFA"/>
    <w:rsid w:val="007A5802"/>
    <w:rsid w:val="007F3D8F"/>
    <w:rsid w:val="007F7FCE"/>
    <w:rsid w:val="00806D70"/>
    <w:rsid w:val="00820FFC"/>
    <w:rsid w:val="00830CBD"/>
    <w:rsid w:val="0083127E"/>
    <w:rsid w:val="00861D63"/>
    <w:rsid w:val="0087797D"/>
    <w:rsid w:val="0088118E"/>
    <w:rsid w:val="008877C9"/>
    <w:rsid w:val="008A37FD"/>
    <w:rsid w:val="008B7A68"/>
    <w:rsid w:val="00904EC7"/>
    <w:rsid w:val="00926392"/>
    <w:rsid w:val="00940B45"/>
    <w:rsid w:val="00986EB7"/>
    <w:rsid w:val="009A7EA3"/>
    <w:rsid w:val="009C5647"/>
    <w:rsid w:val="009F12F7"/>
    <w:rsid w:val="009F4F1E"/>
    <w:rsid w:val="00A0183D"/>
    <w:rsid w:val="00A02833"/>
    <w:rsid w:val="00A1350F"/>
    <w:rsid w:val="00A20223"/>
    <w:rsid w:val="00A237B3"/>
    <w:rsid w:val="00A25B37"/>
    <w:rsid w:val="00A339CE"/>
    <w:rsid w:val="00A41D8C"/>
    <w:rsid w:val="00A4501C"/>
    <w:rsid w:val="00A463FD"/>
    <w:rsid w:val="00A5284C"/>
    <w:rsid w:val="00A5602D"/>
    <w:rsid w:val="00A74263"/>
    <w:rsid w:val="00A91278"/>
    <w:rsid w:val="00A95F37"/>
    <w:rsid w:val="00AA1DB4"/>
    <w:rsid w:val="00AB6624"/>
    <w:rsid w:val="00AB75DF"/>
    <w:rsid w:val="00AC1A73"/>
    <w:rsid w:val="00AC7C40"/>
    <w:rsid w:val="00AD66A8"/>
    <w:rsid w:val="00AE005B"/>
    <w:rsid w:val="00AF0B90"/>
    <w:rsid w:val="00AF7DA1"/>
    <w:rsid w:val="00B32C50"/>
    <w:rsid w:val="00B43C15"/>
    <w:rsid w:val="00B5096A"/>
    <w:rsid w:val="00B753C9"/>
    <w:rsid w:val="00B83B76"/>
    <w:rsid w:val="00B90711"/>
    <w:rsid w:val="00BB2A0C"/>
    <w:rsid w:val="00BD4682"/>
    <w:rsid w:val="00BE09BD"/>
    <w:rsid w:val="00C26302"/>
    <w:rsid w:val="00C32634"/>
    <w:rsid w:val="00C358F6"/>
    <w:rsid w:val="00C4110F"/>
    <w:rsid w:val="00C51C35"/>
    <w:rsid w:val="00C617E3"/>
    <w:rsid w:val="00C76FA9"/>
    <w:rsid w:val="00C902B7"/>
    <w:rsid w:val="00CA7DA4"/>
    <w:rsid w:val="00CD7FF5"/>
    <w:rsid w:val="00CE047B"/>
    <w:rsid w:val="00CF0FF3"/>
    <w:rsid w:val="00D3050B"/>
    <w:rsid w:val="00D336A4"/>
    <w:rsid w:val="00D43C78"/>
    <w:rsid w:val="00D503AE"/>
    <w:rsid w:val="00D5131D"/>
    <w:rsid w:val="00D56787"/>
    <w:rsid w:val="00D634B5"/>
    <w:rsid w:val="00D66F25"/>
    <w:rsid w:val="00D700CF"/>
    <w:rsid w:val="00D747E5"/>
    <w:rsid w:val="00D84E2C"/>
    <w:rsid w:val="00D90B40"/>
    <w:rsid w:val="00D945F8"/>
    <w:rsid w:val="00DD1B25"/>
    <w:rsid w:val="00DF026B"/>
    <w:rsid w:val="00DF078F"/>
    <w:rsid w:val="00DF2ABC"/>
    <w:rsid w:val="00DF2D2D"/>
    <w:rsid w:val="00E135D8"/>
    <w:rsid w:val="00E205CD"/>
    <w:rsid w:val="00E4316B"/>
    <w:rsid w:val="00E54AC5"/>
    <w:rsid w:val="00E73071"/>
    <w:rsid w:val="00E75F20"/>
    <w:rsid w:val="00E827A8"/>
    <w:rsid w:val="00E869B7"/>
    <w:rsid w:val="00E96209"/>
    <w:rsid w:val="00EA0A7F"/>
    <w:rsid w:val="00EE5F06"/>
    <w:rsid w:val="00EF26DA"/>
    <w:rsid w:val="00EF4D9F"/>
    <w:rsid w:val="00EF513F"/>
    <w:rsid w:val="00F17A53"/>
    <w:rsid w:val="00F315DA"/>
    <w:rsid w:val="00F4114C"/>
    <w:rsid w:val="00F6405D"/>
    <w:rsid w:val="00F97F07"/>
    <w:rsid w:val="00FA045F"/>
    <w:rsid w:val="00FB1DF0"/>
    <w:rsid w:val="00FE674B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F"/>
    <w:rPr>
      <w:rFonts w:ascii="Tahoma" w:hAnsi="Tahoma" w:cs="Tahoma"/>
      <w:sz w:val="16"/>
      <w:szCs w:val="16"/>
    </w:rPr>
  </w:style>
  <w:style w:type="paragraph" w:customStyle="1" w:styleId="Sub-title">
    <w:name w:val="Sub-title"/>
    <w:basedOn w:val="Normal"/>
    <w:rsid w:val="00C26302"/>
    <w:pPr>
      <w:pBdr>
        <w:bottom w:val="single" w:sz="4" w:space="6" w:color="auto"/>
      </w:pBdr>
      <w:spacing w:before="180" w:after="1134" w:line="30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26302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C26302"/>
    <w:rPr>
      <w:rFonts w:ascii="Tahoma" w:eastAsia="Times New Roman" w:hAnsi="Tahoma" w:cs="Times New Roman"/>
      <w:color w:val="000000"/>
      <w:kern w:val="28"/>
      <w:sz w:val="52"/>
      <w:szCs w:val="24"/>
    </w:rPr>
  </w:style>
  <w:style w:type="paragraph" w:styleId="ListParagraph">
    <w:name w:val="List Paragraph"/>
    <w:basedOn w:val="Normal"/>
    <w:uiPriority w:val="34"/>
    <w:qFormat/>
    <w:rsid w:val="00E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8F"/>
  </w:style>
  <w:style w:type="paragraph" w:styleId="Footer">
    <w:name w:val="footer"/>
    <w:basedOn w:val="Normal"/>
    <w:link w:val="FooterChar"/>
    <w:uiPriority w:val="99"/>
    <w:unhideWhenUsed/>
    <w:rsid w:val="00DF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8F"/>
  </w:style>
  <w:style w:type="character" w:styleId="CommentReference">
    <w:name w:val="annotation reference"/>
    <w:basedOn w:val="DefaultParagraphFont"/>
    <w:uiPriority w:val="99"/>
    <w:semiHidden/>
    <w:unhideWhenUsed/>
    <w:rsid w:val="0008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F"/>
    <w:rPr>
      <w:rFonts w:ascii="Tahoma" w:hAnsi="Tahoma" w:cs="Tahoma"/>
      <w:sz w:val="16"/>
      <w:szCs w:val="16"/>
    </w:rPr>
  </w:style>
  <w:style w:type="paragraph" w:customStyle="1" w:styleId="Sub-title">
    <w:name w:val="Sub-title"/>
    <w:basedOn w:val="Normal"/>
    <w:rsid w:val="00C26302"/>
    <w:pPr>
      <w:pBdr>
        <w:bottom w:val="single" w:sz="4" w:space="6" w:color="auto"/>
      </w:pBdr>
      <w:spacing w:before="180" w:after="1134" w:line="30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26302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C26302"/>
    <w:rPr>
      <w:rFonts w:ascii="Tahoma" w:eastAsia="Times New Roman" w:hAnsi="Tahoma" w:cs="Times New Roman"/>
      <w:color w:val="000000"/>
      <w:kern w:val="28"/>
      <w:sz w:val="52"/>
      <w:szCs w:val="24"/>
    </w:rPr>
  </w:style>
  <w:style w:type="paragraph" w:styleId="ListParagraph">
    <w:name w:val="List Paragraph"/>
    <w:basedOn w:val="Normal"/>
    <w:uiPriority w:val="34"/>
    <w:qFormat/>
    <w:rsid w:val="00E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78F"/>
  </w:style>
  <w:style w:type="paragraph" w:styleId="Footer">
    <w:name w:val="footer"/>
    <w:basedOn w:val="Normal"/>
    <w:link w:val="FooterChar"/>
    <w:uiPriority w:val="99"/>
    <w:unhideWhenUsed/>
    <w:rsid w:val="00DF0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8F"/>
  </w:style>
  <w:style w:type="character" w:styleId="CommentReference">
    <w:name w:val="annotation reference"/>
    <w:basedOn w:val="DefaultParagraphFont"/>
    <w:uiPriority w:val="99"/>
    <w:semiHidden/>
    <w:unhideWhenUsed/>
    <w:rsid w:val="0008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C7A8-9BDD-45A9-AD88-09101CF6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Percy, Amanda</dc:creator>
  <cp:lastModifiedBy>Percy, Amanda</cp:lastModifiedBy>
  <cp:revision>2</cp:revision>
  <cp:lastPrinted>2017-05-03T09:55:00Z</cp:lastPrinted>
  <dcterms:created xsi:type="dcterms:W3CDTF">2018-12-14T14:57:00Z</dcterms:created>
  <dcterms:modified xsi:type="dcterms:W3CDTF">2018-12-14T14:57:00Z</dcterms:modified>
</cp:coreProperties>
</file>